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108"/>
        <w:tblLayout w:type="fixed"/>
      </w:tblPr>
      <w:tblGrid>
        <w:gridCol w:w="4240"/>
        <w:gridCol w:w="817"/>
        <w:gridCol w:w="4299"/>
      </w:tblGrid>
      <w:tr>
        <w:tc>
          <w:tcPr>
            <w:tcW w:type="dxa" w:w="4240"/>
            <w:vMerge w:val="restart"/>
          </w:tcPr>
          <w:p w14:paraId="02000000">
            <w:pPr>
              <w:rPr>
                <w:sz w:val="16"/>
              </w:rPr>
            </w:pPr>
            <w:r>
              <w:rPr>
                <w:sz w:val="16"/>
              </w:rPr>
              <w:drawing>
                <wp:anchor allowOverlap="true" behindDoc="false" layoutInCell="true" locked="false" relativeHeight="251658240" simplePos="false">
                  <wp:simplePos x="0" y="0"/>
                  <wp:positionH relativeFrom="column">
                    <wp:posOffset>-284480</wp:posOffset>
                  </wp:positionH>
                  <wp:positionV relativeFrom="paragraph">
                    <wp:posOffset>-215265</wp:posOffset>
                  </wp:positionV>
                  <wp:extent cx="2620010" cy="1805940"/>
                  <wp:effectExtent b="0" l="0" r="0" t="0"/>
                  <wp:wrapNone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2620010" cy="180594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  <w:p w14:paraId="03000000">
            <w:pPr>
              <w:rPr>
                <w:sz w:val="16"/>
              </w:rPr>
            </w:pPr>
          </w:p>
          <w:p w14:paraId="04000000">
            <w:pPr>
              <w:rPr>
                <w:sz w:val="16"/>
              </w:rPr>
            </w:pPr>
          </w:p>
          <w:p w14:paraId="05000000">
            <w:pPr>
              <w:rPr>
                <w:sz w:val="16"/>
              </w:rPr>
            </w:pPr>
          </w:p>
          <w:p w14:paraId="06000000">
            <w:pPr>
              <w:rPr>
                <w:sz w:val="16"/>
              </w:rPr>
            </w:pPr>
          </w:p>
          <w:p w14:paraId="07000000">
            <w:pPr>
              <w:rPr>
                <w:sz w:val="16"/>
              </w:rPr>
            </w:pPr>
          </w:p>
          <w:p w14:paraId="08000000">
            <w:pPr>
              <w:rPr>
                <w:sz w:val="16"/>
              </w:rPr>
            </w:pPr>
          </w:p>
          <w:p w14:paraId="09000000">
            <w:pPr>
              <w:rPr>
                <w:sz w:val="16"/>
              </w:rPr>
            </w:pPr>
          </w:p>
          <w:p w14:paraId="0A000000">
            <w:pPr>
              <w:rPr>
                <w:sz w:val="16"/>
              </w:rPr>
            </w:pPr>
          </w:p>
          <w:p w14:paraId="0B000000">
            <w:pPr>
              <w:rPr>
                <w:sz w:val="16"/>
              </w:rPr>
            </w:pPr>
          </w:p>
          <w:p w14:paraId="0C000000">
            <w:pPr>
              <w:rPr>
                <w:sz w:val="16"/>
              </w:rPr>
            </w:pPr>
          </w:p>
        </w:tc>
        <w:tc>
          <w:tcPr>
            <w:tcW w:type="dxa" w:w="817"/>
          </w:tcPr>
          <w:p/>
        </w:tc>
        <w:tc>
          <w:tcPr>
            <w:tcW w:type="dxa" w:w="4299"/>
            <w:vMerge w:val="restart"/>
          </w:tcPr>
          <w:p w14:paraId="0D000000">
            <w:pPr>
              <w:spacing w:line="240" w:lineRule="exact"/>
              <w:ind w:firstLine="79" w:left="0"/>
            </w:pPr>
            <w:r>
              <w:t>Главе города Ставрополя</w:t>
            </w:r>
          </w:p>
          <w:p w14:paraId="0E000000">
            <w:pPr>
              <w:spacing w:line="240" w:lineRule="exact"/>
              <w:ind w:firstLine="79" w:left="0"/>
            </w:pPr>
          </w:p>
          <w:p w14:paraId="0F000000">
            <w:pPr>
              <w:ind w:firstLine="80" w:left="0"/>
            </w:pPr>
            <w:r>
              <w:t>Ульянченко И.И.</w:t>
            </w:r>
          </w:p>
        </w:tc>
      </w:tr>
      <w:tr>
        <w:trPr>
          <w:trHeight w:hRule="atLeast" w:val="1937"/>
        </w:trPr>
        <w:tc>
          <w:tcPr>
            <w:tcW w:type="dxa" w:w="4240"/>
            <w:gridSpan w:val="1"/>
            <w:vMerge w:val="continue"/>
          </w:tcPr>
          <w:p/>
        </w:tc>
        <w:tc>
          <w:tcPr>
            <w:tcW w:type="dxa" w:w="817"/>
          </w:tcPr>
          <w:p/>
        </w:tc>
        <w:tc>
          <w:tcPr>
            <w:tcW w:type="dxa" w:w="4299"/>
            <w:gridSpan w:val="1"/>
            <w:vMerge w:val="continue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0000000">
            <w:pPr>
              <w:ind w:hanging="76" w:left="76"/>
            </w:pPr>
            <w:bookmarkStart w:id="1" w:name="REGNUMDATESTAMP"/>
            <w:r>
              <w:rPr>
                <w:color w:val="FFFFFF"/>
              </w:rPr>
              <w:t xml:space="preserve">Номер документа, не заполнять! </w:t>
            </w:r>
            <w:r>
              <w:rPr>
                <w:color w:val="FFFFFF"/>
              </w:rPr>
              <w:t>!</w:t>
            </w:r>
            <w:bookmarkEnd w:id="1"/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1000000">
            <w:pPr>
              <w:spacing w:line="252" w:lineRule="auto"/>
              <w:ind w:hanging="74" w:left="74"/>
            </w:pPr>
          </w:p>
          <w:p w14:paraId="12000000">
            <w:pPr>
              <w:spacing w:line="252" w:lineRule="auto"/>
              <w:ind w:hanging="74" w:left="74"/>
            </w:pPr>
            <w:r>
              <w:t>На №____________ от ________</w:t>
            </w:r>
          </w:p>
          <w:p w14:paraId="13000000">
            <w:pPr>
              <w:ind w:hanging="76" w:left="76"/>
            </w:pPr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</w:tbl>
    <w:p w14:paraId="14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</w:p>
    <w:p w14:paraId="15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исполнении бюджета </w:t>
      </w:r>
    </w:p>
    <w:p w14:paraId="16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города Ставрополя </w:t>
      </w:r>
    </w:p>
    <w:p w14:paraId="17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январь - апрель </w:t>
      </w:r>
      <w:r>
        <w:rPr>
          <w:rFonts w:ascii="Times New Roman" w:hAnsi="Times New Roman"/>
          <w:sz w:val="28"/>
        </w:rPr>
        <w:t>2024</w:t>
      </w:r>
      <w:r>
        <w:rPr>
          <w:rFonts w:ascii="Times New Roman" w:hAnsi="Times New Roman"/>
          <w:sz w:val="28"/>
        </w:rPr>
        <w:t xml:space="preserve"> года</w:t>
      </w:r>
    </w:p>
    <w:p w14:paraId="18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</w:p>
    <w:p w14:paraId="19000000">
      <w:pPr>
        <w:ind/>
        <w:jc w:val="center"/>
      </w:pPr>
    </w:p>
    <w:p w14:paraId="1A000000">
      <w:pPr>
        <w:pStyle w:val="Style_3"/>
        <w:widowControl w:val="0"/>
        <w:spacing w:line="240" w:lineRule="exact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Уважаемый Иван Иванович!</w:t>
      </w:r>
    </w:p>
    <w:p w14:paraId="1B000000">
      <w:pPr>
        <w:pStyle w:val="Style_3"/>
        <w:widowControl w:val="0"/>
        <w:spacing w:line="240" w:lineRule="exact"/>
        <w:ind/>
        <w:jc w:val="center"/>
        <w:rPr>
          <w:rFonts w:ascii="Times New Roman" w:hAnsi="Times New Roman"/>
          <w:sz w:val="28"/>
        </w:rPr>
      </w:pPr>
    </w:p>
    <w:p w14:paraId="1C000000">
      <w:pPr>
        <w:pStyle w:val="Style_3"/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отчетным данным бюджет города Ставрополя за </w:t>
      </w:r>
      <w:r>
        <w:rPr>
          <w:rFonts w:ascii="Times New Roman" w:hAnsi="Times New Roman"/>
          <w:sz w:val="28"/>
        </w:rPr>
        <w:t>январь - апрель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 год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исполнен по доходам в сумме </w:t>
      </w:r>
      <w:r>
        <w:rPr>
          <w:rFonts w:ascii="Times New Roman" w:hAnsi="Times New Roman"/>
          <w:sz w:val="28"/>
        </w:rPr>
        <w:t>4 570 929</w:t>
      </w:r>
      <w:r>
        <w:rPr>
          <w:rFonts w:ascii="Times New Roman" w:hAnsi="Times New Roman"/>
          <w:sz w:val="28"/>
        </w:rPr>
        <w:t xml:space="preserve"> тыс. рублей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по расходам в сумме </w:t>
      </w:r>
      <w:r>
        <w:rPr>
          <w:rFonts w:ascii="Times New Roman" w:hAnsi="Times New Roman"/>
          <w:color w:val="000000"/>
          <w:spacing w:val="0"/>
          <w:sz w:val="28"/>
        </w:rPr>
        <w:t>4 892</w:t>
      </w:r>
      <w:r>
        <w:rPr>
          <w:rFonts w:ascii="Times New Roman" w:hAnsi="Times New Roman"/>
          <w:sz w:val="28"/>
        </w:rPr>
        <w:t> 178</w:t>
      </w:r>
      <w:r>
        <w:rPr>
          <w:rFonts w:ascii="Times New Roman" w:hAnsi="Times New Roman"/>
          <w:sz w:val="28"/>
        </w:rPr>
        <w:t xml:space="preserve"> тыс. рублей с превышением расходов над доходами в сумме 321</w:t>
      </w:r>
      <w:r>
        <w:rPr>
          <w:rFonts w:ascii="Times New Roman" w:hAnsi="Times New Roman"/>
          <w:sz w:val="28"/>
        </w:rPr>
        <w:t> 249</w:t>
      </w:r>
      <w:r>
        <w:rPr>
          <w:rFonts w:ascii="Times New Roman" w:hAnsi="Times New Roman"/>
          <w:sz w:val="28"/>
        </w:rPr>
        <w:t> тыс. рублей.</w:t>
      </w:r>
    </w:p>
    <w:p w14:paraId="1D000000">
      <w:pPr>
        <w:widowControl w:val="0"/>
        <w:spacing w:line="228" w:lineRule="auto"/>
        <w:ind w:firstLine="709" w:left="0"/>
        <w:jc w:val="both"/>
      </w:pPr>
      <w:r>
        <w:t xml:space="preserve">По сравнению </w:t>
      </w:r>
      <w:r>
        <w:t xml:space="preserve">с </w:t>
      </w:r>
      <w:r>
        <w:t>прошл</w:t>
      </w:r>
      <w:r>
        <w:t>ым годом</w:t>
      </w:r>
      <w:r>
        <w:t xml:space="preserve"> объем поступлений в бюджет города Ставрополя у</w:t>
      </w:r>
      <w:r>
        <w:t>меньшился</w:t>
      </w:r>
      <w:r>
        <w:t xml:space="preserve"> на </w:t>
      </w:r>
      <w:r>
        <w:t>338 029</w:t>
      </w:r>
      <w:r>
        <w:t xml:space="preserve"> тыс. рублей, или на </w:t>
      </w:r>
      <w:r>
        <w:t>6,9</w:t>
      </w:r>
      <w:r>
        <w:t xml:space="preserve"> </w:t>
      </w:r>
      <w:r>
        <w:t xml:space="preserve">процента. </w:t>
      </w:r>
      <w:r>
        <w:t xml:space="preserve">Поступления по налоговым и неналоговым доходам увеличились на </w:t>
      </w:r>
      <w:r>
        <w:br/>
      </w:r>
      <w:r>
        <w:t>159 63</w:t>
      </w:r>
      <w:r>
        <w:t>3</w:t>
      </w:r>
      <w:r>
        <w:t xml:space="preserve"> тыс. рублей, или </w:t>
      </w:r>
      <w:r>
        <w:t xml:space="preserve">на </w:t>
      </w:r>
      <w:r>
        <w:t>10</w:t>
      </w:r>
      <w:r>
        <w:t>,</w:t>
      </w:r>
      <w:r>
        <w:t>1</w:t>
      </w:r>
      <w:r>
        <w:t xml:space="preserve"> процента</w:t>
      </w:r>
      <w:r>
        <w:t>.</w:t>
      </w:r>
    </w:p>
    <w:p w14:paraId="1E000000">
      <w:pPr>
        <w:ind w:firstLine="709" w:left="0"/>
        <w:jc w:val="both"/>
      </w:pPr>
      <w:r>
        <w:t>Объем произведенных расходов уменьшился по сравнению с аналогичным периодом 2023</w:t>
      </w:r>
      <w:r>
        <w:t> года на 557</w:t>
      </w:r>
      <w:r>
        <w:t> 000</w:t>
      </w:r>
      <w:r>
        <w:rPr>
          <w:sz w:val="22"/>
        </w:rPr>
        <w:t xml:space="preserve"> </w:t>
      </w:r>
      <w:r>
        <w:t>тыс. рублей, или на 10,2</w:t>
      </w:r>
      <w:r>
        <w:t> процента.</w:t>
      </w:r>
    </w:p>
    <w:p w14:paraId="1F000000">
      <w:pPr>
        <w:ind w:firstLine="709" w:left="0"/>
        <w:jc w:val="both"/>
      </w:pPr>
    </w:p>
    <w:p w14:paraId="20000000">
      <w:pPr>
        <w:widowControl w:val="0"/>
        <w:ind w:firstLine="2694" w:left="0"/>
        <w:jc w:val="both"/>
      </w:pPr>
      <w:r>
        <w:t>Доходы бюджета города Ставрополя</w:t>
      </w:r>
    </w:p>
    <w:p w14:paraId="21000000">
      <w:pPr>
        <w:widowControl w:val="0"/>
        <w:spacing w:line="228" w:lineRule="auto"/>
        <w:ind w:firstLine="2694" w:left="0"/>
        <w:jc w:val="both"/>
      </w:pPr>
    </w:p>
    <w:p w14:paraId="22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За </w:t>
      </w:r>
      <w:r>
        <w:t>январь-апрель</w:t>
      </w:r>
      <w:r>
        <w:t xml:space="preserve"> </w:t>
      </w:r>
      <w:r>
        <w:t>202</w:t>
      </w:r>
      <w:r>
        <w:t>4</w:t>
      </w:r>
      <w:r>
        <w:t xml:space="preserve"> год</w:t>
      </w:r>
      <w:r>
        <w:t>а</w:t>
      </w:r>
      <w:r>
        <w:t xml:space="preserve"> объем налоговых и неналоговых доходов в бюджет города Ставропол</w:t>
      </w:r>
      <w:r>
        <w:t xml:space="preserve">я составил </w:t>
      </w:r>
      <w:r>
        <w:t>1 733 24</w:t>
      </w:r>
      <w:r>
        <w:t>6</w:t>
      </w:r>
      <w:r>
        <w:t xml:space="preserve"> тыс. </w:t>
      </w:r>
      <w:r>
        <w:t>рублей. Бюджетн</w:t>
      </w:r>
      <w:r>
        <w:t xml:space="preserve">ые назначения исполнены на </w:t>
      </w:r>
      <w:r>
        <w:t>100,6</w:t>
      </w:r>
      <w:r>
        <w:t xml:space="preserve"> процент</w:t>
      </w:r>
      <w:r>
        <w:t>а</w:t>
      </w:r>
      <w:r>
        <w:t xml:space="preserve">, плановый прогнозный показатель по налоговым и неналоговым доходам перевыполнен на </w:t>
      </w:r>
      <w:r>
        <w:t>10 51</w:t>
      </w:r>
      <w:r>
        <w:t>6</w:t>
      </w:r>
      <w:r>
        <w:t xml:space="preserve"> </w:t>
      </w:r>
      <w:r>
        <w:t>тыс. рублей.</w:t>
      </w:r>
    </w:p>
    <w:p w14:paraId="23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Структура доходов:</w:t>
      </w:r>
    </w:p>
    <w:p w14:paraId="24000000">
      <w:pPr>
        <w:widowControl w:val="0"/>
        <w:spacing w:line="228" w:lineRule="auto"/>
        <w:ind w:firstLine="708" w:left="0"/>
        <w:jc w:val="both"/>
      </w:pPr>
      <w:r>
        <w:t xml:space="preserve">налоговые доходы – </w:t>
      </w:r>
      <w:r>
        <w:t>1 505 67</w:t>
      </w:r>
      <w:r>
        <w:t>1</w:t>
      </w:r>
      <w:r>
        <w:t xml:space="preserve"> тыс. рублей (8</w:t>
      </w:r>
      <w:r>
        <w:t>6</w:t>
      </w:r>
      <w:r>
        <w:t>,</w:t>
      </w:r>
      <w:r>
        <w:t>9</w:t>
      </w:r>
      <w:r>
        <w:t xml:space="preserve"> процента к сумме налоговых и неналоговых доходов);</w:t>
      </w:r>
    </w:p>
    <w:p w14:paraId="25000000">
      <w:pPr>
        <w:widowControl w:val="0"/>
        <w:spacing w:line="228" w:lineRule="auto"/>
        <w:ind w:firstLine="708" w:left="0"/>
        <w:jc w:val="both"/>
      </w:pPr>
      <w:r>
        <w:t xml:space="preserve">неналоговые доходы – </w:t>
      </w:r>
      <w:r>
        <w:t>227 575</w:t>
      </w:r>
      <w:r>
        <w:t xml:space="preserve"> тыс. рублей (</w:t>
      </w:r>
      <w:r>
        <w:t>13,1</w:t>
      </w:r>
      <w:r>
        <w:t xml:space="preserve"> процента к сумме налоговых и неналоговых доходов);</w:t>
      </w:r>
    </w:p>
    <w:p w14:paraId="26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безвозмездные поступления – </w:t>
      </w:r>
      <w:r>
        <w:t>2 837 68</w:t>
      </w:r>
      <w:r>
        <w:t>3</w:t>
      </w:r>
      <w:r>
        <w:t xml:space="preserve"> </w:t>
      </w:r>
      <w:r>
        <w:t xml:space="preserve">тыс. рублей (из них возврат остатков прошлых лет субсидий и субвенций из бюджетов городских округов в сумме </w:t>
      </w:r>
      <w:r>
        <w:t>-</w:t>
      </w:r>
      <w:r>
        <w:t>32 550</w:t>
      </w:r>
      <w:r>
        <w:t xml:space="preserve"> тыс. рублей).</w:t>
      </w:r>
    </w:p>
    <w:p w14:paraId="27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План по налоговым доходам выполнен в целом на </w:t>
      </w:r>
      <w:r>
        <w:t>100,</w:t>
      </w:r>
      <w:r>
        <w:t>5</w:t>
      </w:r>
      <w:r>
        <w:t xml:space="preserve"> </w:t>
      </w:r>
      <w:r>
        <w:t>процент</w:t>
      </w:r>
      <w:r>
        <w:t>а</w:t>
      </w:r>
      <w:r>
        <w:t xml:space="preserve">, в </w:t>
      </w:r>
      <w:r>
        <w:t xml:space="preserve">бюджет города Ставрополя дополнительно поступило платежей в сумме </w:t>
      </w:r>
      <w:r>
        <w:t>6 97</w:t>
      </w:r>
      <w:r>
        <w:t>2</w:t>
      </w:r>
      <w:r>
        <w:t> </w:t>
      </w:r>
      <w:r>
        <w:t>тыс. рублей.</w:t>
      </w:r>
    </w:p>
    <w:p w14:paraId="28000000">
      <w:pPr>
        <w:widowControl w:val="0"/>
        <w:tabs>
          <w:tab w:leader="none" w:pos="709" w:val="left"/>
        </w:tabs>
        <w:ind w:firstLine="709" w:left="0"/>
        <w:jc w:val="both"/>
      </w:pPr>
      <w:r>
        <w:t>В доход бюджета города Ставрополя сверх установленных плановых назначений поступили платежи:</w:t>
      </w:r>
    </w:p>
    <w:p w14:paraId="29000000">
      <w:pPr>
        <w:widowControl w:val="0"/>
        <w:tabs>
          <w:tab w:leader="none" w:pos="709" w:val="left"/>
        </w:tabs>
        <w:ind w:firstLine="709" w:left="0"/>
        <w:jc w:val="both"/>
      </w:pPr>
      <w:r>
        <w:t>по налогу на доходы физических лиц – 2 516 тыс. рублей;</w:t>
      </w:r>
    </w:p>
    <w:p w14:paraId="2A000000">
      <w:pPr>
        <w:widowControl w:val="0"/>
        <w:tabs>
          <w:tab w:leader="none" w:pos="709" w:val="left"/>
        </w:tabs>
        <w:ind w:firstLine="709" w:left="0"/>
        <w:jc w:val="both"/>
      </w:pPr>
      <w:r>
        <w:t>по налогу, взимаемому в связи с применением упрощенной системы налогообложения, – 2 002 тыс. рублей;</w:t>
      </w:r>
    </w:p>
    <w:p w14:paraId="2B000000">
      <w:pPr>
        <w:widowControl w:val="0"/>
        <w:tabs>
          <w:tab w:leader="none" w:pos="709" w:val="left"/>
        </w:tabs>
        <w:ind w:firstLine="709" w:left="0"/>
        <w:jc w:val="both"/>
      </w:pPr>
      <w:r>
        <w:t xml:space="preserve">по налогу на имущество физических лиц – 1 878 тыс. рублей; </w:t>
      </w:r>
    </w:p>
    <w:p w14:paraId="2C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налогу, взимаемому в связи с применением патентной системы налогообложения, – 1 361 тыс. рублей;</w:t>
      </w:r>
    </w:p>
    <w:p w14:paraId="2D000000">
      <w:pPr>
        <w:widowControl w:val="0"/>
        <w:tabs>
          <w:tab w:leader="none" w:pos="709" w:val="left"/>
        </w:tabs>
        <w:ind w:firstLine="709" w:left="0"/>
        <w:jc w:val="both"/>
      </w:pPr>
      <w:r>
        <w:t>по земельному налогу – 1 230 тыс. рублей;</w:t>
      </w:r>
    </w:p>
    <w:p w14:paraId="2E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по единому сельскохозяйственному налогу – </w:t>
      </w:r>
      <w:r>
        <w:t>614</w:t>
      </w:r>
      <w:r>
        <w:t xml:space="preserve"> тыс. рублей;</w:t>
      </w:r>
    </w:p>
    <w:p w14:paraId="2F000000">
      <w:pPr>
        <w:widowControl w:val="0"/>
        <w:tabs>
          <w:tab w:leader="none" w:pos="709" w:val="left"/>
        </w:tabs>
        <w:ind w:firstLine="709" w:left="0"/>
        <w:jc w:val="both"/>
      </w:pPr>
      <w:r>
        <w:t xml:space="preserve">по единому налогу на вмененный доход от отдельных видов деятельности – </w:t>
      </w:r>
      <w:r>
        <w:t>21</w:t>
      </w:r>
      <w:r>
        <w:t>2</w:t>
      </w:r>
      <w:r>
        <w:t xml:space="preserve"> тыс. рублей.</w:t>
      </w:r>
    </w:p>
    <w:p w14:paraId="30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План по налоговым доходам не выполнен</w:t>
      </w:r>
      <w:r>
        <w:t xml:space="preserve"> </w:t>
      </w:r>
      <w:r>
        <w:t xml:space="preserve">по акцизам по подакцизным товарам (продукции) на </w:t>
      </w:r>
      <w:r>
        <w:t>2 132</w:t>
      </w:r>
      <w:r>
        <w:t xml:space="preserve"> тыс. рублей</w:t>
      </w:r>
      <w:r>
        <w:t>; государственной пошлине – на 709 тыс. рублей</w:t>
      </w:r>
      <w:r>
        <w:t xml:space="preserve"> </w:t>
      </w:r>
      <w:r>
        <w:t>(администратор – Управление Федеральной налоговой службы по Ставропольскому краю).</w:t>
      </w:r>
    </w:p>
    <w:p w14:paraId="31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План по неналоговым доходам выполнен на </w:t>
      </w:r>
      <w:r>
        <w:t>101,6</w:t>
      </w:r>
      <w:r>
        <w:t xml:space="preserve"> процента, в бюджет города Ставрополя дополнительно поступило платежей в сумме </w:t>
      </w:r>
      <w:r>
        <w:t>3 544</w:t>
      </w:r>
      <w:r>
        <w:t xml:space="preserve"> тыс. рублей.</w:t>
      </w:r>
    </w:p>
    <w:p w14:paraId="32000000">
      <w:pPr>
        <w:widowControl w:val="0"/>
        <w:tabs>
          <w:tab w:leader="none" w:pos="0" w:val="left"/>
          <w:tab w:leader="none" w:pos="709" w:val="left"/>
        </w:tabs>
        <w:spacing w:line="228" w:lineRule="auto"/>
        <w:ind w:firstLine="709" w:left="0"/>
        <w:jc w:val="both"/>
      </w:pPr>
      <w:r>
        <w:t>План по неналоговым доходам перевыполнен:</w:t>
      </w:r>
    </w:p>
    <w:p w14:paraId="33000000">
      <w:pPr>
        <w:widowControl w:val="0"/>
        <w:tabs>
          <w:tab w:leader="none" w:pos="709" w:val="left"/>
        </w:tabs>
        <w:ind w:firstLine="709" w:left="0"/>
        <w:jc w:val="both"/>
      </w:pPr>
      <w:r>
        <w:t>по доходам от перечисления части прибыли, остающейся после уплаты налогов и иных обязательных платежей муниципальных унитарных предприятий, – на 2 122 тыс. рублей;</w:t>
      </w:r>
    </w:p>
    <w:p w14:paraId="34000000">
      <w:pPr>
        <w:spacing w:line="228" w:lineRule="auto"/>
        <w:ind w:firstLine="709" w:left="0"/>
        <w:jc w:val="both"/>
      </w:pPr>
      <w:r>
        <w:t xml:space="preserve">по доходам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учреждений), – на </w:t>
      </w:r>
      <w:r>
        <w:t>1 973</w:t>
      </w:r>
      <w:r>
        <w:t xml:space="preserve"> тыс. рублей;</w:t>
      </w:r>
    </w:p>
    <w:p w14:paraId="35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доходам, получаемым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средствам от продажи права на заключение договоров аренды указанных земельных участков</w:t>
      </w:r>
      <w:r>
        <w:t xml:space="preserve"> – </w:t>
      </w:r>
      <w:r>
        <w:br/>
      </w:r>
      <w:r>
        <w:t>на 948 тыс. рублей;</w:t>
      </w:r>
    </w:p>
    <w:p w14:paraId="36000000">
      <w:pPr>
        <w:ind w:firstLine="629" w:left="80"/>
        <w:jc w:val="both"/>
      </w:pPr>
      <w:r>
        <w:t xml:space="preserve">по плате за негативное воздействие на окружающую среду – на </w:t>
      </w:r>
      <w:r>
        <w:t>928</w:t>
      </w:r>
      <w:r>
        <w:t> </w:t>
      </w:r>
      <w:r>
        <w:t xml:space="preserve">тыс. </w:t>
      </w:r>
      <w:r>
        <w:t>рублей;</w:t>
      </w:r>
    </w:p>
    <w:p w14:paraId="37000000">
      <w:pPr>
        <w:widowControl w:val="0"/>
        <w:tabs>
          <w:tab w:leader="none" w:pos="709" w:val="left"/>
        </w:tabs>
        <w:ind w:firstLine="709" w:left="0"/>
        <w:jc w:val="both"/>
      </w:pPr>
      <w:r>
        <w:t>по прочим поступлениям от использования имущества, находящегося в собственности городских округов, – на 417 тыс. рублей;</w:t>
      </w:r>
    </w:p>
    <w:p w14:paraId="38000000">
      <w:pPr>
        <w:widowControl w:val="0"/>
        <w:tabs>
          <w:tab w:leader="none" w:pos="709" w:val="left"/>
        </w:tabs>
        <w:ind w:firstLine="709" w:left="0"/>
        <w:jc w:val="both"/>
      </w:pPr>
      <w:r>
        <w:t>по доходам от оказания платных услуг (работ) и компенсации затрат государства – на 239 тыс. рублей.</w:t>
      </w:r>
    </w:p>
    <w:p w14:paraId="39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План </w:t>
      </w:r>
      <w:r>
        <w:t xml:space="preserve">по неналоговым </w:t>
      </w:r>
      <w:r>
        <w:t xml:space="preserve">доходам </w:t>
      </w:r>
      <w:r>
        <w:t>не выполнен</w:t>
      </w:r>
      <w:r>
        <w:t>:</w:t>
      </w:r>
    </w:p>
    <w:p w14:paraId="3A000000">
      <w:pPr>
        <w:spacing w:line="228" w:lineRule="auto"/>
        <w:ind w:firstLine="709" w:left="0"/>
        <w:jc w:val="both"/>
      </w:pPr>
      <w:r>
        <w:t xml:space="preserve">по доходам от продажи земельных участков, находящихся в </w:t>
      </w:r>
      <w:r>
        <w:t>государственной и муниципальной собственности, – на 2 120 тыс. рублей (администратор – комитет по управлению муниципальным имуществом города Ставрополя);</w:t>
      </w:r>
    </w:p>
    <w:p w14:paraId="3B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штрафным санкциям</w:t>
      </w:r>
      <w:r>
        <w:t>, возмещению ущерба</w:t>
      </w:r>
      <w:r>
        <w:t xml:space="preserve"> – на </w:t>
      </w:r>
      <w:r>
        <w:t>624</w:t>
      </w:r>
      <w:r>
        <w:t xml:space="preserve"> тыс. рублей;</w:t>
      </w:r>
    </w:p>
    <w:p w14:paraId="3C000000">
      <w:pPr>
        <w:spacing w:line="228" w:lineRule="auto"/>
        <w:ind w:firstLine="709" w:left="0"/>
        <w:jc w:val="both"/>
      </w:pPr>
      <w:r>
        <w:t>по доходам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– на 624</w:t>
      </w:r>
      <w:r>
        <w:t xml:space="preserve"> </w:t>
      </w:r>
      <w:r>
        <w:t>тыс. рублей;</w:t>
      </w:r>
    </w:p>
    <w:p w14:paraId="3D000000">
      <w:pPr>
        <w:widowControl w:val="0"/>
        <w:ind w:firstLine="709" w:left="0"/>
        <w:jc w:val="both"/>
      </w:pPr>
      <w:r>
        <w:t xml:space="preserve">по доходам, получаемым в виде арендной платы, а также средствам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учреждений), – на </w:t>
      </w:r>
      <w:r>
        <w:t>150</w:t>
      </w:r>
      <w:r>
        <w:t xml:space="preserve"> тыс. рублей</w:t>
      </w:r>
      <w:r>
        <w:t xml:space="preserve"> (администратор – комитет по управлению муниципальным имуществом города Ставрополя)</w:t>
      </w:r>
      <w:r>
        <w:t>.</w:t>
      </w:r>
    </w:p>
    <w:p w14:paraId="3E000000">
      <w:pPr>
        <w:widowControl w:val="0"/>
        <w:ind w:firstLine="709" w:left="0"/>
        <w:jc w:val="both"/>
      </w:pPr>
    </w:p>
    <w:p w14:paraId="3F000000">
      <w:pPr>
        <w:widowControl w:val="0"/>
        <w:ind w:firstLine="709" w:left="0"/>
        <w:jc w:val="center"/>
      </w:pPr>
      <w:r>
        <w:t>Расходы бюджета города Ставрополя</w:t>
      </w:r>
    </w:p>
    <w:p w14:paraId="40000000">
      <w:pPr>
        <w:widowControl w:val="0"/>
        <w:ind w:firstLine="709" w:left="0"/>
        <w:jc w:val="center"/>
        <w:rPr>
          <w:sz w:val="18"/>
        </w:rPr>
      </w:pPr>
    </w:p>
    <w:p w14:paraId="41000000">
      <w:pPr>
        <w:widowControl w:val="0"/>
        <w:ind w:firstLine="709" w:left="0"/>
        <w:jc w:val="both"/>
      </w:pPr>
      <w:r>
        <w:t xml:space="preserve">Фактические кассовые расходы бюджета города Ставрополя </w:t>
      </w:r>
      <w:r>
        <w:br/>
      </w:r>
      <w:r>
        <w:t>за январь - апрель</w:t>
      </w:r>
      <w:r>
        <w:t xml:space="preserve"> </w:t>
      </w:r>
      <w:r>
        <w:t>2024</w:t>
      </w:r>
      <w:r>
        <w:t xml:space="preserve"> года составили </w:t>
      </w:r>
      <w:r>
        <w:rPr>
          <w:rFonts w:ascii="Times New Roman" w:hAnsi="Times New Roman"/>
          <w:color w:val="000000"/>
          <w:spacing w:val="0"/>
          <w:sz w:val="28"/>
        </w:rPr>
        <w:t>4 892</w:t>
      </w:r>
      <w:r>
        <w:t> 178</w:t>
      </w:r>
      <w:r>
        <w:rPr>
          <w:b w:val="1"/>
          <w:sz w:val="24"/>
        </w:rPr>
        <w:t xml:space="preserve"> </w:t>
      </w:r>
      <w:r>
        <w:t>тыс. рублей, или 99,7</w:t>
      </w:r>
      <w:r>
        <w:t xml:space="preserve"> </w:t>
      </w:r>
      <w:r>
        <w:t>процент</w:t>
      </w:r>
      <w:r>
        <w:t>а</w:t>
      </w:r>
      <w:r>
        <w:t xml:space="preserve"> к кассовому плану на</w:t>
      </w:r>
      <w:r>
        <w:t xml:space="preserve"> январь - апрель</w:t>
      </w:r>
      <w:r>
        <w:t xml:space="preserve"> </w:t>
      </w:r>
      <w:r>
        <w:t>2024</w:t>
      </w:r>
      <w:r>
        <w:t xml:space="preserve"> года. </w:t>
      </w:r>
    </w:p>
    <w:p w14:paraId="42000000">
      <w:pPr>
        <w:ind w:firstLine="709" w:left="0"/>
        <w:jc w:val="both"/>
      </w:pPr>
      <w:r>
        <w:t>В разрезе главных распорядителей исполнение плановых назначений сложилось следующим образом.</w:t>
      </w:r>
    </w:p>
    <w:p w14:paraId="43000000">
      <w:pPr>
        <w:rPr>
          <w:sz w:val="18"/>
        </w:rPr>
      </w:pPr>
    </w:p>
    <w:p w14:paraId="44000000">
      <w:pPr>
        <w:widowControl w:val="0"/>
        <w:tabs>
          <w:tab w:leader="none" w:pos="993" w:val="left"/>
        </w:tabs>
        <w:spacing w:line="216" w:lineRule="auto"/>
        <w:ind/>
        <w:jc w:val="center"/>
      </w:pPr>
      <w:r>
        <w:t>Исполнение</w:t>
      </w:r>
    </w:p>
    <w:p w14:paraId="45000000">
      <w:pPr>
        <w:widowControl w:val="0"/>
        <w:spacing w:line="216" w:lineRule="auto"/>
        <w:ind/>
        <w:jc w:val="center"/>
      </w:pPr>
      <w:r>
        <w:t>расходной части бюджета города Ставрополя в разрезе главных распорядителей бюджетных средств за январь - апрель</w:t>
      </w:r>
      <w:r>
        <w:t xml:space="preserve"> </w:t>
      </w:r>
      <w:r>
        <w:t>2024</w:t>
      </w:r>
      <w:r>
        <w:t> года</w:t>
      </w:r>
    </w:p>
    <w:p w14:paraId="46000000">
      <w:pPr>
        <w:widowControl w:val="0"/>
        <w:ind w:firstLine="539" w:left="0"/>
        <w:jc w:val="center"/>
        <w:rPr>
          <w:sz w:val="18"/>
        </w:rPr>
      </w:pPr>
    </w:p>
    <w:p w14:paraId="47000000">
      <w:pPr>
        <w:widowControl w:val="0"/>
        <w:ind w:firstLine="539" w:left="0"/>
        <w:jc w:val="right"/>
        <w:rPr>
          <w:sz w:val="18"/>
        </w:rPr>
      </w:pPr>
      <w:r>
        <w:rPr>
          <w:sz w:val="18"/>
        </w:rPr>
        <w:t>(тыс. рублей)</w:t>
      </w:r>
    </w:p>
    <w:tbl>
      <w:tblPr>
        <w:tblStyle w:val="Style_2"/>
        <w:tblW w:type="auto" w:w="0"/>
        <w:tblInd w:type="dxa" w:w="108"/>
        <w:tblLayout w:type="fixed"/>
      </w:tblPr>
      <w:tblGrid>
        <w:gridCol w:w="709"/>
        <w:gridCol w:w="3119"/>
        <w:gridCol w:w="1551"/>
        <w:gridCol w:w="8"/>
        <w:gridCol w:w="1417"/>
        <w:gridCol w:w="1134"/>
        <w:gridCol w:w="1418"/>
      </w:tblGrid>
      <w:tr>
        <w:trPr>
          <w:trHeight w:hRule="atLeast" w:val="866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spacing w:line="192" w:lineRule="auto"/>
              <w:ind w:firstLine="0" w:left="-108" w:right="-188"/>
              <w:jc w:val="center"/>
              <w:rPr>
                <w:sz w:val="24"/>
              </w:rPr>
            </w:pPr>
            <w:r>
              <w:rPr>
                <w:sz w:val="24"/>
              </w:rPr>
              <w:t>Код ГРБС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ГРБС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FFFFFF" w:val="clear"/>
          </w:tcPr>
          <w:p w14:paraId="4A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Кассовый план на январь – апрель 20</w:t>
            </w:r>
            <w:r>
              <w:rPr>
                <w:sz w:val="24"/>
              </w:rPr>
              <w:t>24</w:t>
            </w:r>
            <w:r>
              <w:rPr>
                <w:sz w:val="24"/>
              </w:rPr>
              <w:t> года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B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Кассовое исполнение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4C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Остаток кассового плана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Процент исполнения к кассовому плану</w:t>
            </w:r>
          </w:p>
        </w:tc>
      </w:tr>
      <w:tr>
        <w:trPr>
          <w:trHeight w:hRule="atLeast" w:val="157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bottom"/>
          </w:tcPr>
          <w:p w14:paraId="4F000000">
            <w:pPr>
              <w:spacing w:line="21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2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871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spacing w:line="192" w:lineRule="auto"/>
              <w:ind/>
              <w:jc w:val="left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55000000">
            <w:pPr>
              <w:spacing w:line="216" w:lineRule="auto"/>
              <w:ind/>
              <w:jc w:val="left"/>
              <w:rPr>
                <w:sz w:val="24"/>
              </w:rPr>
            </w:pPr>
            <w:r>
              <w:rPr>
                <w:sz w:val="24"/>
              </w:rPr>
              <w:t>Ставропольская городская Дума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19 440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19 440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8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3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line="192" w:lineRule="auto"/>
              <w:ind/>
              <w:jc w:val="left"/>
              <w:rPr>
                <w:sz w:val="24"/>
              </w:rPr>
            </w:pPr>
            <w:r>
              <w:rPr>
                <w:sz w:val="24"/>
              </w:rPr>
              <w:t>601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line="216" w:lineRule="auto"/>
              <w:ind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города Ставрополя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127 034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116 550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10 484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91,7</w:t>
            </w:r>
          </w:p>
        </w:tc>
      </w:tr>
      <w:tr>
        <w:trPr>
          <w:trHeight w:hRule="atLeast" w:val="126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line="192" w:lineRule="auto"/>
              <w:ind/>
              <w:jc w:val="left"/>
              <w:rPr>
                <w:sz w:val="24"/>
              </w:rPr>
            </w:pPr>
            <w:r>
              <w:rPr>
                <w:sz w:val="24"/>
              </w:rPr>
              <w:t>602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6" w:val="single"/>
              <w:right w:sz="4" w:val="nil"/>
            </w:tcBorders>
            <w:shd w:fill="auto" w:val="clear"/>
            <w:vAlign w:val="center"/>
          </w:tcPr>
          <w:p w14:paraId="61000000">
            <w:pPr>
              <w:spacing w:line="216" w:lineRule="auto"/>
              <w:ind/>
              <w:jc w:val="left"/>
              <w:rPr>
                <w:sz w:val="24"/>
              </w:rPr>
            </w:pPr>
            <w:r>
              <w:rPr>
                <w:sz w:val="24"/>
              </w:rPr>
              <w:t>Комитет по управлению муниципальным имуществом города Ставрополя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45 349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45 349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64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64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6000000">
            <w:pPr>
              <w:spacing w:line="192" w:lineRule="auto"/>
              <w:ind/>
              <w:jc w:val="left"/>
              <w:rPr>
                <w:sz w:val="24"/>
              </w:rPr>
            </w:pPr>
            <w:r>
              <w:rPr>
                <w:sz w:val="24"/>
              </w:rPr>
              <w:t>604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7000000">
            <w:pPr>
              <w:spacing w:line="192" w:lineRule="auto"/>
              <w:ind/>
              <w:jc w:val="left"/>
              <w:rPr>
                <w:sz w:val="24"/>
              </w:rPr>
            </w:pPr>
            <w:r>
              <w:rPr>
                <w:sz w:val="24"/>
              </w:rPr>
              <w:t>Комитет финансов и бюджета администрации города Ставрополя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8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60 144</w:t>
            </w:r>
          </w:p>
        </w:tc>
        <w:tc>
          <w:tcPr>
            <w:tcW w:type="dxa" w:w="14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9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60 144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A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B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930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C000000">
            <w:pPr>
              <w:spacing w:line="192" w:lineRule="auto"/>
              <w:ind/>
              <w:jc w:val="left"/>
              <w:rPr>
                <w:sz w:val="24"/>
              </w:rPr>
            </w:pPr>
            <w:r>
              <w:rPr>
                <w:sz w:val="24"/>
              </w:rPr>
              <w:t>605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D000000">
            <w:pPr>
              <w:spacing w:line="192" w:lineRule="auto"/>
              <w:ind/>
              <w:jc w:val="left"/>
              <w:rPr>
                <w:sz w:val="24"/>
              </w:rPr>
            </w:pPr>
            <w:r>
              <w:rPr>
                <w:sz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E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68 465</w:t>
            </w:r>
          </w:p>
        </w:tc>
        <w:tc>
          <w:tcPr>
            <w:tcW w:type="dxa" w:w="14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F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66 743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0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1 722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1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97,5</w:t>
            </w:r>
          </w:p>
        </w:tc>
      </w:tr>
      <w:tr>
        <w:trPr>
          <w:trHeight w:hRule="atLeast" w:val="329"/>
        </w:trPr>
        <w:tc>
          <w:tcPr>
            <w:tcW w:type="dxa" w:w="709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119"/>
            <w:tcBorders>
              <w:top w:color="000000" w:sz="6" w:val="single"/>
              <w:left w:sz="4" w:val="nil"/>
              <w:bottom w:color="000000" w:sz="6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00000">
            <w:pPr>
              <w:spacing w:line="21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559"/>
            <w:gridSpan w:val="2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4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6" w:val="single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5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sz="4" w:val="nil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6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418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7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870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8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606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9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образования администрации города Ставрополя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A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2 407 751</w:t>
            </w:r>
          </w:p>
        </w:tc>
        <w:tc>
          <w:tcPr>
            <w:tcW w:type="dxa" w:w="14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B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2 407 492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259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D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943"/>
        </w:trPr>
        <w:tc>
          <w:tcPr>
            <w:tcW w:type="dxa" w:w="709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  <w:vAlign w:val="center"/>
          </w:tcPr>
          <w:p w14:paraId="7E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607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F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0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233 185</w:t>
            </w:r>
          </w:p>
        </w:tc>
        <w:tc>
          <w:tcPr>
            <w:tcW w:type="dxa" w:w="14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1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233 185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2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3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609</w:t>
            </w:r>
          </w:p>
        </w:tc>
        <w:tc>
          <w:tcPr>
            <w:tcW w:type="dxa" w:w="3119"/>
            <w:tcBorders>
              <w:top w:color="000000" w:sz="6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85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type="dxa" w:w="1551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839 007</w:t>
            </w:r>
          </w:p>
        </w:tc>
        <w:tc>
          <w:tcPr>
            <w:tcW w:type="dxa" w:w="1425"/>
            <w:gridSpan w:val="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838 938</w:t>
            </w:r>
          </w:p>
        </w:tc>
        <w:tc>
          <w:tcPr>
            <w:tcW w:type="dxa" w:w="1134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8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type="dxa" w:w="1418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611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8B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80 612</w:t>
            </w:r>
          </w:p>
        </w:tc>
        <w:tc>
          <w:tcPr>
            <w:tcW w:type="dxa" w:w="142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80 512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E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99,9</w:t>
            </w:r>
          </w:p>
        </w:tc>
      </w:tr>
      <w:tr>
        <w:trPr>
          <w:trHeight w:hRule="atLeast" w:val="592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617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91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Ленинского района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82 786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3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82 548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238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99,7</w:t>
            </w:r>
          </w:p>
        </w:tc>
      </w:tr>
      <w:tr>
        <w:trPr>
          <w:trHeight w:hRule="atLeast" w:val="545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618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97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Октябрьского района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94 140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9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94 140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82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619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9D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Промышленного района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128 942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F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128 858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99,9</w:t>
            </w:r>
          </w:p>
        </w:tc>
      </w:tr>
      <w:tr>
        <w:trPr>
          <w:trHeight w:hRule="atLeast" w:val="547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620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A3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251 528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5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251 528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54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621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A9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градостроительства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411 005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B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410 997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089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624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AF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по делам гражданской обороны и чрезвычайным ситуациям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48 311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1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48 311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37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643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B5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Контрольно-счетная палата города Ставрополя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7 443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7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7 443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275"/>
        </w:trPr>
        <w:tc>
          <w:tcPr>
            <w:tcW w:type="dxa" w:w="382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4 905 142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spacing w:after="120" w:before="120" w:line="240" w:lineRule="auto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4 892 178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12 964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spacing w:line="240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99,7</w:t>
            </w:r>
          </w:p>
        </w:tc>
      </w:tr>
    </w:tbl>
    <w:p w14:paraId="BF000000">
      <w:pPr>
        <w:widowControl w:val="0"/>
        <w:spacing w:line="240" w:lineRule="auto"/>
        <w:ind w:firstLine="539" w:left="0"/>
        <w:jc w:val="right"/>
        <w:rPr>
          <w:sz w:val="18"/>
        </w:rPr>
      </w:pPr>
    </w:p>
    <w:p w14:paraId="C0000000">
      <w:pPr>
        <w:spacing w:line="240" w:lineRule="auto"/>
        <w:ind w:firstLine="709" w:left="0"/>
        <w:jc w:val="both"/>
      </w:pPr>
      <w:r>
        <w:t>В части местных полномочий исполнение плановых назначений за январь - апрель</w:t>
      </w:r>
      <w:r>
        <w:t xml:space="preserve"> </w:t>
      </w:r>
      <w:r>
        <w:t>202</w:t>
      </w:r>
      <w:r>
        <w:t>4</w:t>
      </w:r>
      <w:r>
        <w:t xml:space="preserve"> года </w:t>
      </w:r>
      <w:r>
        <w:t xml:space="preserve">составило </w:t>
      </w:r>
      <w:r>
        <w:t>99,4</w:t>
      </w:r>
      <w:r>
        <w:t> процента</w:t>
      </w:r>
      <w:r>
        <w:t xml:space="preserve"> (</w:t>
      </w:r>
      <w:r>
        <w:t>при уточненном кассовом плане</w:t>
      </w:r>
      <w:r>
        <w:t xml:space="preserve"> </w:t>
      </w:r>
      <w:r>
        <w:rPr>
          <w:rFonts w:ascii="Times New Roman" w:hAnsi="Times New Roman"/>
          <w:color w:val="000000"/>
          <w:spacing w:val="0"/>
          <w:sz w:val="28"/>
        </w:rPr>
        <w:t>2 233</w:t>
      </w:r>
      <w:r>
        <w:t> 288</w:t>
      </w:r>
      <w:r>
        <w:t xml:space="preserve"> </w:t>
      </w:r>
      <w:r>
        <w:t xml:space="preserve">тыс. рублей кассовые расходы составили </w:t>
      </w:r>
      <w:r>
        <w:rPr>
          <w:rFonts w:ascii="Times New Roman" w:hAnsi="Times New Roman"/>
          <w:color w:val="000000"/>
          <w:spacing w:val="0"/>
          <w:sz w:val="28"/>
        </w:rPr>
        <w:t>2 220</w:t>
      </w:r>
      <w:r>
        <w:t xml:space="preserve"> 499 </w:t>
      </w:r>
      <w:r>
        <w:t xml:space="preserve">тыс. рублей, остаток составил </w:t>
      </w:r>
      <w:r>
        <w:rPr>
          <w:rFonts w:ascii="Times New Roman" w:hAnsi="Times New Roman"/>
          <w:color w:val="000000"/>
          <w:spacing w:val="0"/>
          <w:sz w:val="28"/>
        </w:rPr>
        <w:t xml:space="preserve">12 789 </w:t>
      </w:r>
      <w:r>
        <w:t>тыс. рублей</w:t>
      </w:r>
      <w:r>
        <w:t>).</w:t>
      </w:r>
    </w:p>
    <w:p w14:paraId="C1000000">
      <w:pPr>
        <w:spacing w:line="240" w:lineRule="auto"/>
        <w:ind w:firstLine="709" w:left="0"/>
        <w:jc w:val="both"/>
      </w:pPr>
      <w:r>
        <w:t xml:space="preserve">В части межбюджетных трансфертов (субвенций, субсидий, иных межбюджетных трансфертов) исполнение плановых назначений </w:t>
      </w:r>
      <w:r>
        <w:br/>
      </w:r>
      <w:r>
        <w:t xml:space="preserve">за </w:t>
      </w:r>
      <w:r>
        <w:t xml:space="preserve">анализируемый период </w:t>
      </w:r>
      <w:r>
        <w:t>составило 100,0</w:t>
      </w:r>
      <w:r>
        <w:t xml:space="preserve"> процент</w:t>
      </w:r>
      <w:r>
        <w:t>а</w:t>
      </w:r>
      <w:r>
        <w:t xml:space="preserve"> (</w:t>
      </w:r>
      <w:r>
        <w:t>при уточненном кассовом плане</w:t>
      </w:r>
      <w:r>
        <w:t xml:space="preserve"> </w:t>
      </w:r>
      <w:r>
        <w:rPr>
          <w:rFonts w:ascii="Times New Roman" w:hAnsi="Times New Roman"/>
          <w:color w:val="000000"/>
          <w:spacing w:val="0"/>
          <w:sz w:val="28"/>
        </w:rPr>
        <w:t>2 671</w:t>
      </w:r>
      <w:r>
        <w:t> 854</w:t>
      </w:r>
      <w:r>
        <w:t xml:space="preserve"> тыс. рублей </w:t>
      </w:r>
      <w:r>
        <w:t xml:space="preserve">кассовые расходы составили </w:t>
      </w:r>
      <w:r>
        <w:br/>
      </w:r>
      <w:r>
        <w:rPr>
          <w:rFonts w:ascii="Times New Roman" w:hAnsi="Times New Roman"/>
          <w:color w:val="000000"/>
          <w:spacing w:val="0"/>
          <w:sz w:val="28"/>
        </w:rPr>
        <w:t>2 671</w:t>
      </w:r>
      <w:r>
        <w:t> 679</w:t>
      </w:r>
      <w:r>
        <w:t xml:space="preserve"> </w:t>
      </w:r>
      <w:r>
        <w:t xml:space="preserve">тыс. рублей, остаток составил </w:t>
      </w:r>
      <w:r>
        <w:t> 175</w:t>
      </w:r>
      <w:r>
        <w:t> тыс. рублей)</w:t>
      </w:r>
      <w:r>
        <w:t>.</w:t>
      </w:r>
    </w:p>
    <w:p w14:paraId="C2000000">
      <w:pPr>
        <w:widowControl w:val="0"/>
        <w:spacing w:line="240" w:lineRule="auto"/>
        <w:ind w:firstLine="709" w:left="0"/>
        <w:jc w:val="both"/>
      </w:pPr>
      <w:r>
        <w:t xml:space="preserve">Исполнение бюджета города Ставрополя </w:t>
      </w:r>
      <w:r>
        <w:t xml:space="preserve">за январь – апрель </w:t>
      </w:r>
      <w:r>
        <w:t>2024</w:t>
      </w:r>
      <w:r>
        <w:t xml:space="preserve"> года к годовым плановым назначениям по расходам составило в целом 23,0</w:t>
      </w:r>
      <w:r>
        <w:t> </w:t>
      </w:r>
      <w:r>
        <w:t>процент</w:t>
      </w:r>
      <w:r>
        <w:t>а</w:t>
      </w:r>
      <w:r>
        <w:t xml:space="preserve"> (</w:t>
      </w:r>
      <w:r>
        <w:t xml:space="preserve">за аналогичный период </w:t>
      </w:r>
      <w:r>
        <w:t>2023</w:t>
      </w:r>
      <w:r>
        <w:t xml:space="preserve"> года – 29,8</w:t>
      </w:r>
      <w:r>
        <w:t xml:space="preserve"> </w:t>
      </w:r>
      <w:r>
        <w:t>процента</w:t>
      </w:r>
      <w:r>
        <w:t>).</w:t>
      </w:r>
    </w:p>
    <w:p w14:paraId="C3000000">
      <w:pPr>
        <w:spacing w:line="240" w:lineRule="auto"/>
        <w:ind w:firstLine="709" w:left="0"/>
        <w:jc w:val="both"/>
      </w:pPr>
      <w:r>
        <w:t xml:space="preserve">Сумма остатков средств на 30.04.2024 на счетах бюджета города Ставрополя уменьшилась по сравнению с началом года на </w:t>
      </w:r>
      <w:r>
        <w:rPr>
          <w:rFonts w:ascii="Times New Roman" w:hAnsi="Times New Roman"/>
          <w:color w:val="000000"/>
          <w:spacing w:val="0"/>
          <w:sz w:val="28"/>
        </w:rPr>
        <w:t>15 422</w:t>
      </w:r>
      <w:r>
        <w:t xml:space="preserve"> тыс. руб</w:t>
      </w:r>
      <w:r>
        <w:t xml:space="preserve">лей и составила </w:t>
      </w:r>
      <w:r>
        <w:rPr>
          <w:rFonts w:ascii="Times New Roman" w:hAnsi="Times New Roman"/>
          <w:color w:val="000000"/>
          <w:spacing w:val="0"/>
          <w:sz w:val="28"/>
        </w:rPr>
        <w:t>757 145</w:t>
      </w:r>
      <w:r>
        <w:t xml:space="preserve"> тыс. рублей.</w:t>
      </w:r>
    </w:p>
    <w:p w14:paraId="C4000000">
      <w:pPr>
        <w:spacing w:line="240" w:lineRule="auto"/>
        <w:ind w:firstLine="709" w:left="0"/>
        <w:jc w:val="both"/>
      </w:pPr>
      <w:r>
        <w:rPr>
          <w:rStyle w:val="Style_4_ch"/>
        </w:rPr>
        <w:t xml:space="preserve">Муниципальный долг по состоянию на 30.04.2024 составил </w:t>
      </w:r>
      <w:r>
        <w:br/>
      </w:r>
      <w:r>
        <w:rPr>
          <w:rStyle w:val="Style_4_ch"/>
        </w:rPr>
        <w:t>1 908 886 тыс. рублей, в том числе задолженность по бюджетным кредитам – 1 908 886 тыс. рублей. Задолженность по кредитам кредитных организаций отсутствует.</w:t>
      </w:r>
    </w:p>
    <w:p w14:paraId="C5000000">
      <w:pPr>
        <w:spacing w:line="240" w:lineRule="auto"/>
        <w:ind w:firstLine="709" w:left="0"/>
        <w:jc w:val="both"/>
      </w:pPr>
      <w:r>
        <w:t>Расходы на обслуживание муниципального долга з</w:t>
      </w:r>
      <w:r>
        <w:t xml:space="preserve">а январь - апрель </w:t>
      </w:r>
      <w:r>
        <w:t>202</w:t>
      </w:r>
      <w:r>
        <w:t>4</w:t>
      </w:r>
      <w:r>
        <w:t xml:space="preserve"> года составили 3</w:t>
      </w:r>
      <w:r>
        <w:rPr>
          <w:rFonts w:ascii="Times New Roman" w:hAnsi="Times New Roman"/>
          <w:color w:val="000000"/>
          <w:spacing w:val="0"/>
          <w:sz w:val="28"/>
        </w:rPr>
        <w:t>7 337</w:t>
      </w:r>
      <w:r>
        <w:t xml:space="preserve"> тыс. рублей.</w:t>
      </w:r>
    </w:p>
    <w:p w14:paraId="C6000000">
      <w:pPr>
        <w:widowControl w:val="0"/>
        <w:ind w:firstLine="567" w:left="0"/>
        <w:jc w:val="both"/>
        <w:rPr>
          <w:sz w:val="24"/>
        </w:rPr>
      </w:pPr>
    </w:p>
    <w:p w14:paraId="C7000000">
      <w:pPr>
        <w:ind w:firstLine="709" w:left="0"/>
      </w:pPr>
      <w:r>
        <w:t>Приложение: на 5 л. в 1 экз.</w:t>
      </w:r>
    </w:p>
    <w:p w14:paraId="C8000000"/>
    <w:p w14:paraId="C9000000"/>
    <w:p w14:paraId="CA000000"/>
    <w:tbl>
      <w:tblPr>
        <w:tblStyle w:val="Style_2"/>
        <w:tblW w:type="auto" w:w="0"/>
        <w:tblInd w:type="dxa" w:w="108"/>
        <w:tblLayout w:type="fixed"/>
      </w:tblPr>
      <w:tblGrid>
        <w:gridCol w:w="284"/>
        <w:gridCol w:w="5386"/>
        <w:gridCol w:w="1134"/>
        <w:gridCol w:w="2552"/>
      </w:tblGrid>
      <w:tr>
        <w:trPr>
          <w:trHeight w:hRule="atLeast" w:val="656"/>
        </w:trPr>
        <w:tc>
          <w:tcPr>
            <w:tcW w:type="dxa" w:w="5670"/>
            <w:gridSpan w:val="2"/>
            <w:shd w:fill="auto" w:val="clear"/>
            <w:vAlign w:val="bottom"/>
          </w:tcPr>
          <w:p w14:paraId="CB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Заместитель </w:t>
            </w:r>
            <w:r>
              <w:t xml:space="preserve">главы </w:t>
            </w:r>
          </w:p>
          <w:p w14:paraId="CC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администрации города Ставрополя, </w:t>
            </w:r>
          </w:p>
          <w:p w14:paraId="CD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>руководител</w:t>
            </w:r>
            <w:r>
              <w:t>ь</w:t>
            </w:r>
            <w:r>
              <w:t xml:space="preserve"> комитета финансов и бюджета </w:t>
            </w:r>
          </w:p>
          <w:p w14:paraId="CE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>администрации города Ставрополя</w:t>
            </w:r>
          </w:p>
        </w:tc>
        <w:tc>
          <w:tcPr>
            <w:tcW w:type="dxa" w:w="1134"/>
          </w:tcPr>
          <w:p w14:paraId="CF000000">
            <w:pPr>
              <w:keepNext w:val="1"/>
              <w:keepLines w:val="1"/>
              <w:ind w:firstLine="0" w:left="-108"/>
            </w:pPr>
          </w:p>
        </w:tc>
        <w:tc>
          <w:tcPr>
            <w:tcW w:type="dxa" w:w="2552"/>
            <w:shd w:fill="auto" w:val="clear"/>
            <w:vAlign w:val="bottom"/>
          </w:tcPr>
          <w:p w14:paraId="D0000000">
            <w:pPr>
              <w:keepNext w:val="1"/>
              <w:keepLines w:val="1"/>
              <w:ind w:right="-108"/>
              <w:jc w:val="right"/>
            </w:pPr>
            <w:r>
              <w:t>Н.А. Бондаренко</w:t>
            </w:r>
          </w:p>
        </w:tc>
      </w:tr>
      <w:tr>
        <w:trPr>
          <w:trHeight w:hRule="atLeast" w:val="1916"/>
        </w:trPr>
        <w:tc>
          <w:tcPr>
            <w:tcW w:type="dxa" w:w="284"/>
            <w:shd w:fill="auto" w:val="clear"/>
          </w:tcPr>
          <w:p w14:paraId="D1000000">
            <w:pPr>
              <w:keepNext w:val="1"/>
              <w:keepLines w:val="1"/>
              <w:ind w:right="-108"/>
              <w:jc w:val="center"/>
            </w:pPr>
          </w:p>
        </w:tc>
        <w:tc>
          <w:tcPr>
            <w:tcW w:type="dxa" w:w="5386"/>
            <w:shd w:fill="auto" w:val="clear"/>
          </w:tcPr>
          <w:p w14:paraId="D2000000">
            <w:pPr>
              <w:keepNext w:val="1"/>
              <w:keepLines w:val="1"/>
              <w:ind w:right="-108"/>
              <w:jc w:val="right"/>
              <w:rPr>
                <w:color w:val="FFFFFF"/>
              </w:rPr>
            </w:pPr>
            <w:bookmarkStart w:id="2" w:name="SIGNERSTAMP1"/>
            <w:r>
              <w:rPr>
                <w:i w:val="1"/>
                <w:color w:val="FFFFFF"/>
              </w:rPr>
              <w:t>Штамп ЭП</w:t>
            </w:r>
            <w:r>
              <w:rPr>
                <w:color w:val="FFFFFF"/>
              </w:rPr>
              <w:t>!</w:t>
            </w:r>
            <w:bookmarkEnd w:id="2"/>
          </w:p>
        </w:tc>
        <w:tc>
          <w:tcPr>
            <w:tcW w:type="dxa" w:w="1134"/>
            <w:shd w:fill="auto" w:val="clear"/>
          </w:tcPr>
          <w:p w14:paraId="D3000000">
            <w:pPr>
              <w:keepNext w:val="1"/>
              <w:keepLines w:val="1"/>
              <w:ind w:right="-108"/>
              <w:jc w:val="both"/>
            </w:pPr>
          </w:p>
        </w:tc>
        <w:tc>
          <w:tcPr>
            <w:tcW w:type="dxa" w:w="2552"/>
            <w:shd w:fill="auto" w:val="clear"/>
          </w:tcPr>
          <w:p w14:paraId="D4000000">
            <w:pPr>
              <w:keepNext w:val="1"/>
              <w:keepLines w:val="1"/>
              <w:ind w:right="-108"/>
              <w:jc w:val="center"/>
            </w:pPr>
          </w:p>
        </w:tc>
      </w:tr>
    </w:tbl>
    <w:p w14:paraId="D5000000">
      <w:pPr>
        <w:spacing w:line="240" w:lineRule="exact"/>
        <w:ind/>
        <w:jc w:val="both"/>
        <w:rPr>
          <w:sz w:val="20"/>
        </w:rPr>
      </w:pPr>
    </w:p>
    <w:p w14:paraId="D6000000">
      <w:pPr>
        <w:spacing w:line="240" w:lineRule="exact"/>
        <w:ind/>
        <w:jc w:val="both"/>
        <w:rPr>
          <w:sz w:val="20"/>
        </w:rPr>
      </w:pPr>
    </w:p>
    <w:p w14:paraId="D7000000">
      <w:pPr>
        <w:spacing w:line="240" w:lineRule="exact"/>
        <w:ind/>
        <w:jc w:val="both"/>
        <w:rPr>
          <w:sz w:val="20"/>
        </w:rPr>
      </w:pPr>
    </w:p>
    <w:p w14:paraId="D8000000">
      <w:pPr>
        <w:spacing w:line="240" w:lineRule="exact"/>
        <w:ind/>
        <w:jc w:val="both"/>
        <w:rPr>
          <w:sz w:val="20"/>
        </w:rPr>
      </w:pPr>
    </w:p>
    <w:p w14:paraId="D9000000">
      <w:pPr>
        <w:spacing w:line="240" w:lineRule="exact"/>
        <w:ind/>
        <w:jc w:val="both"/>
        <w:rPr>
          <w:sz w:val="20"/>
        </w:rPr>
      </w:pPr>
    </w:p>
    <w:p w14:paraId="DA000000">
      <w:pPr>
        <w:spacing w:line="240" w:lineRule="exact"/>
        <w:ind/>
        <w:jc w:val="both"/>
        <w:rPr>
          <w:sz w:val="20"/>
        </w:rPr>
      </w:pPr>
    </w:p>
    <w:p w14:paraId="DB000000">
      <w:pPr>
        <w:spacing w:line="240" w:lineRule="exact"/>
        <w:ind/>
        <w:jc w:val="both"/>
        <w:rPr>
          <w:sz w:val="20"/>
        </w:rPr>
      </w:pPr>
    </w:p>
    <w:p w14:paraId="DC000000">
      <w:pPr>
        <w:spacing w:line="240" w:lineRule="exact"/>
        <w:ind/>
        <w:jc w:val="both"/>
        <w:rPr>
          <w:sz w:val="20"/>
        </w:rPr>
      </w:pPr>
    </w:p>
    <w:p w14:paraId="DD000000">
      <w:pPr>
        <w:spacing w:line="240" w:lineRule="exact"/>
        <w:ind/>
        <w:jc w:val="both"/>
        <w:rPr>
          <w:sz w:val="20"/>
        </w:rPr>
      </w:pPr>
    </w:p>
    <w:p w14:paraId="DE000000">
      <w:pPr>
        <w:spacing w:line="240" w:lineRule="exact"/>
        <w:ind/>
        <w:jc w:val="both"/>
        <w:rPr>
          <w:sz w:val="20"/>
        </w:rPr>
      </w:pPr>
    </w:p>
    <w:p w14:paraId="DF000000">
      <w:pPr>
        <w:spacing w:line="240" w:lineRule="exact"/>
        <w:ind/>
        <w:jc w:val="both"/>
        <w:rPr>
          <w:sz w:val="20"/>
        </w:rPr>
      </w:pPr>
    </w:p>
    <w:p w14:paraId="E0000000">
      <w:pPr>
        <w:spacing w:line="240" w:lineRule="exact"/>
        <w:ind/>
        <w:jc w:val="both"/>
        <w:rPr>
          <w:sz w:val="20"/>
        </w:rPr>
      </w:pPr>
    </w:p>
    <w:p w14:paraId="E1000000">
      <w:pPr>
        <w:spacing w:line="240" w:lineRule="exact"/>
        <w:ind/>
        <w:jc w:val="both"/>
        <w:rPr>
          <w:sz w:val="20"/>
        </w:rPr>
      </w:pPr>
    </w:p>
    <w:p w14:paraId="E2000000">
      <w:pPr>
        <w:spacing w:line="240" w:lineRule="exact"/>
        <w:ind/>
        <w:jc w:val="both"/>
        <w:rPr>
          <w:sz w:val="20"/>
        </w:rPr>
      </w:pPr>
    </w:p>
    <w:p w14:paraId="E3000000">
      <w:pPr>
        <w:spacing w:line="240" w:lineRule="exact"/>
        <w:ind/>
        <w:jc w:val="both"/>
        <w:rPr>
          <w:sz w:val="20"/>
        </w:rPr>
      </w:pPr>
    </w:p>
    <w:p w14:paraId="E4000000">
      <w:pPr>
        <w:spacing w:line="240" w:lineRule="exact"/>
        <w:ind/>
        <w:jc w:val="both"/>
        <w:rPr>
          <w:sz w:val="20"/>
        </w:rPr>
      </w:pPr>
    </w:p>
    <w:p w14:paraId="E5000000">
      <w:pPr>
        <w:spacing w:line="240" w:lineRule="exact"/>
        <w:ind/>
        <w:jc w:val="both"/>
        <w:rPr>
          <w:sz w:val="20"/>
        </w:rPr>
      </w:pPr>
    </w:p>
    <w:p w14:paraId="E6000000">
      <w:pPr>
        <w:spacing w:line="240" w:lineRule="exact"/>
        <w:ind/>
        <w:jc w:val="both"/>
        <w:rPr>
          <w:sz w:val="20"/>
        </w:rPr>
      </w:pPr>
    </w:p>
    <w:p w14:paraId="E7000000">
      <w:pPr>
        <w:spacing w:line="240" w:lineRule="exact"/>
        <w:ind/>
        <w:jc w:val="both"/>
        <w:rPr>
          <w:sz w:val="20"/>
        </w:rPr>
      </w:pPr>
    </w:p>
    <w:p w14:paraId="E8000000">
      <w:pPr>
        <w:spacing w:line="240" w:lineRule="exact"/>
        <w:ind/>
        <w:jc w:val="both"/>
        <w:rPr>
          <w:sz w:val="20"/>
        </w:rPr>
      </w:pPr>
    </w:p>
    <w:p w14:paraId="E9000000">
      <w:pPr>
        <w:spacing w:line="240" w:lineRule="exact"/>
        <w:ind/>
        <w:jc w:val="both"/>
        <w:rPr>
          <w:sz w:val="20"/>
        </w:rPr>
      </w:pPr>
    </w:p>
    <w:p w14:paraId="EA000000">
      <w:pPr>
        <w:spacing w:line="240" w:lineRule="exact"/>
        <w:ind/>
        <w:jc w:val="both"/>
        <w:rPr>
          <w:sz w:val="20"/>
        </w:rPr>
      </w:pPr>
    </w:p>
    <w:p w14:paraId="EB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К.В. Серикова, 74-93-53</w:t>
      </w:r>
    </w:p>
    <w:p w14:paraId="EC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 xml:space="preserve">Н.Н. </w:t>
      </w:r>
      <w:r>
        <w:rPr>
          <w:sz w:val="18"/>
        </w:rPr>
        <w:t>Кирюшкина</w:t>
      </w:r>
      <w:r>
        <w:rPr>
          <w:sz w:val="18"/>
        </w:rPr>
        <w:t>, 74-94-91</w:t>
      </w:r>
    </w:p>
    <w:p w14:paraId="ED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А.М. Никитина, 74-94-92</w:t>
      </w:r>
    </w:p>
    <w:p w14:paraId="EE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З.А. Андрейченко, 74-93-57</w:t>
      </w:r>
    </w:p>
    <w:sectPr>
      <w:headerReference r:id="rId1" w:type="default"/>
      <w:pgSz w:h="16848" w:orient="portrait" w:w="11908"/>
      <w:pgMar w:bottom="1134" w:footer="709" w:gutter="0" w:header="709" w:left="1984" w:right="567" w:top="1417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0" w:line="240" w:lineRule="auto"/>
      <w:ind/>
    </w:pPr>
    <w:rPr>
      <w:rFonts w:ascii="Times New Roman" w:hAnsi="Times New Roman"/>
      <w:sz w:val="28"/>
    </w:rPr>
  </w:style>
  <w:style w:default="1" w:styleId="Style_4_ch" w:type="character">
    <w:name w:val="Normal"/>
    <w:link w:val="Style_4"/>
    <w:rPr>
      <w:rFonts w:ascii="Times New Roman" w:hAnsi="Times New Roman"/>
      <w:sz w:val="28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annotation reference"/>
    <w:basedOn w:val="Style_9"/>
    <w:link w:val="Style_12_ch"/>
    <w:rPr>
      <w:sz w:val="16"/>
    </w:rPr>
  </w:style>
  <w:style w:styleId="Style_12_ch" w:type="character">
    <w:name w:val="annotation reference"/>
    <w:basedOn w:val="Style_9_ch"/>
    <w:link w:val="Style_12"/>
    <w:rPr>
      <w:sz w:val="16"/>
    </w:rPr>
  </w:style>
  <w:style w:styleId="Style_13" w:type="paragraph">
    <w:name w:val="annotation subject"/>
    <w:basedOn w:val="Style_14"/>
    <w:next w:val="Style_14"/>
    <w:link w:val="Style_13_ch"/>
    <w:rPr>
      <w:b w:val="1"/>
    </w:rPr>
  </w:style>
  <w:style w:styleId="Style_13_ch" w:type="character">
    <w:name w:val="annotation subject"/>
    <w:basedOn w:val="Style_14_ch"/>
    <w:link w:val="Style_13"/>
    <w:rPr>
      <w:b w:val="1"/>
    </w:rPr>
  </w:style>
  <w:style w:styleId="Style_15" w:type="paragraph">
    <w:name w:val="toc 3"/>
    <w:next w:val="Style_4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3" w:type="paragraph">
    <w:name w:val="No Spacing"/>
    <w:link w:val="Style_3_ch"/>
    <w:pPr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16" w:type="paragraph">
    <w:name w:val="footer"/>
    <w:basedOn w:val="Style_4"/>
    <w:link w:val="Style_16_ch"/>
    <w:pPr>
      <w:tabs>
        <w:tab w:leader="none" w:pos="4677" w:val="center"/>
        <w:tab w:leader="none" w:pos="9355" w:val="right"/>
      </w:tabs>
      <w:ind/>
    </w:pPr>
  </w:style>
  <w:style w:styleId="Style_16_ch" w:type="character">
    <w:name w:val="footer"/>
    <w:basedOn w:val="Style_4_ch"/>
    <w:link w:val="Style_16"/>
  </w:style>
  <w:style w:styleId="Style_17" w:type="paragraph">
    <w:name w:val="heading 5"/>
    <w:next w:val="Style_4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basedOn w:val="Style_4"/>
    <w:next w:val="Style_4"/>
    <w:link w:val="Style_18_ch"/>
    <w:uiPriority w:val="9"/>
    <w:qFormat/>
    <w:pPr>
      <w:keepNext w:val="1"/>
      <w:ind/>
      <w:outlineLvl w:val="0"/>
    </w:pPr>
    <w:rPr>
      <w:b w:val="1"/>
    </w:rPr>
  </w:style>
  <w:style w:styleId="Style_18_ch" w:type="character">
    <w:name w:val="heading 1"/>
    <w:basedOn w:val="Style_4_ch"/>
    <w:link w:val="Style_18"/>
    <w:rPr>
      <w:b w:val="1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4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4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24" w:type="paragraph">
    <w:name w:val="Normal (Web)"/>
    <w:basedOn w:val="Style_4"/>
    <w:link w:val="Style_24_ch"/>
    <w:pPr>
      <w:spacing w:afterAutospacing="on" w:beforeAutospacing="on"/>
      <w:ind/>
    </w:pPr>
    <w:rPr>
      <w:sz w:val="24"/>
    </w:rPr>
  </w:style>
  <w:style w:styleId="Style_24_ch" w:type="character">
    <w:name w:val="Normal (Web)"/>
    <w:basedOn w:val="Style_4_ch"/>
    <w:link w:val="Style_24"/>
    <w:rPr>
      <w:sz w:val="24"/>
    </w:rPr>
  </w:style>
  <w:style w:styleId="Style_25" w:type="paragraph">
    <w:name w:val="toc 8"/>
    <w:next w:val="Style_4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14" w:type="paragraph">
    <w:name w:val="annotation text"/>
    <w:basedOn w:val="Style_4"/>
    <w:link w:val="Style_14_ch"/>
    <w:rPr>
      <w:sz w:val="20"/>
    </w:rPr>
  </w:style>
  <w:style w:styleId="Style_14_ch" w:type="character">
    <w:name w:val="annotation text"/>
    <w:basedOn w:val="Style_4_ch"/>
    <w:link w:val="Style_14"/>
    <w:rPr>
      <w:sz w:val="20"/>
    </w:rPr>
  </w:style>
  <w:style w:styleId="Style_26" w:type="paragraph">
    <w:name w:val="Body Text"/>
    <w:basedOn w:val="Style_4"/>
    <w:link w:val="Style_26_ch"/>
    <w:pPr>
      <w:ind/>
      <w:jc w:val="center"/>
    </w:pPr>
    <w:rPr>
      <w:b w:val="1"/>
      <w:caps w:val="1"/>
    </w:rPr>
  </w:style>
  <w:style w:styleId="Style_26_ch" w:type="character">
    <w:name w:val="Body Text"/>
    <w:basedOn w:val="Style_4_ch"/>
    <w:link w:val="Style_26"/>
    <w:rPr>
      <w:b w:val="1"/>
      <w:caps w:val="1"/>
    </w:rPr>
  </w:style>
  <w:style w:styleId="Style_27" w:type="paragraph">
    <w:name w:val="toc 5"/>
    <w:next w:val="Style_4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Balloon Text"/>
    <w:basedOn w:val="Style_4"/>
    <w:link w:val="Style_28_ch"/>
    <w:rPr>
      <w:rFonts w:ascii="Segoe UI" w:hAnsi="Segoe UI"/>
      <w:sz w:val="18"/>
    </w:rPr>
  </w:style>
  <w:style w:styleId="Style_28_ch" w:type="character">
    <w:name w:val="Balloon Text"/>
    <w:basedOn w:val="Style_4_ch"/>
    <w:link w:val="Style_28"/>
    <w:rPr>
      <w:rFonts w:ascii="Segoe UI" w:hAnsi="Segoe UI"/>
      <w:sz w:val="18"/>
    </w:rPr>
  </w:style>
  <w:style w:styleId="Style_29" w:type="paragraph">
    <w:name w:val="Subtitle"/>
    <w:next w:val="Style_4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4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4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4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3" w:type="table">
    <w:name w:val="Table Grid"/>
    <w:basedOn w:val="Style_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emf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2024-05-21T11:17:53Z</dcterms:modified>
</cp:coreProperties>
</file>