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4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layoutInCell="true" locked="false" relativeHeight="251658240" simplePos="false">
                  <wp:simplePos x="0" y="0"/>
                  <wp:positionH relativeFrom="column">
                    <wp:posOffset>-288133</wp:posOffset>
                  </wp:positionH>
                  <wp:positionV relativeFrom="page">
                    <wp:posOffset>-214200</wp:posOffset>
                  </wp:positionV>
                  <wp:extent cx="2620010" cy="1805940"/>
                  <wp:effectExtent b="0" l="0" r="0" t="0"/>
                  <wp:wrapNone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  <w:p w14:paraId="0D000000">
            <w:pPr>
              <w:rPr>
                <w:sz w:val="16"/>
              </w:rPr>
            </w:pPr>
          </w:p>
          <w:p w14:paraId="0E000000">
            <w:pPr>
              <w:rPr>
                <w:sz w:val="16"/>
              </w:rPr>
            </w:pPr>
          </w:p>
        </w:tc>
        <w:tc>
          <w:tcPr>
            <w:tcW w:type="dxa" w:w="817"/>
          </w:tcPr>
          <w:p w14:paraId="0F000000">
            <w:pPr>
              <w:rPr/>
            </w:pPr>
          </w:p>
        </w:tc>
        <w:tc>
          <w:tcPr>
            <w:tcW w:type="dxa" w:w="4299"/>
            <w:vMerge w:val="restart"/>
          </w:tcPr>
          <w:p w14:paraId="10000000">
            <w:pPr>
              <w:spacing w:line="240" w:lineRule="exact"/>
              <w:ind w:firstLine="79" w:left="0"/>
              <w:rPr/>
            </w:pPr>
            <w:r>
              <w:rPr/>
              <w:t>Главе города Ставрополя</w:t>
            </w:r>
          </w:p>
          <w:p w14:paraId="11000000">
            <w:pPr>
              <w:spacing w:line="240" w:lineRule="exact"/>
              <w:ind w:firstLine="79" w:left="0"/>
              <w:rPr/>
            </w:pPr>
          </w:p>
          <w:p w14:paraId="12000000">
            <w:pPr>
              <w:ind w:firstLine="80" w:left="0"/>
              <w:rPr/>
            </w:pPr>
            <w:r>
              <w:rPr/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 w14:paraId="13000000">
            <w:pPr>
              <w:rPr/>
            </w:pPr>
          </w:p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4000000">
            <w:pPr>
              <w:ind w:hanging="76" w:left="76"/>
              <w:rPr/>
            </w:pPr>
            <w:bookmarkStart w:id="1" w:name="REGNUMDATESTAMP"/>
            <w:r>
              <w:rPr>
                <w:color w:val="FFFFFF"/>
              </w:rPr>
              <w:t>Номер документа, не заполнять! !</w:t>
            </w:r>
            <w:bookmarkEnd w:id="1"/>
          </w:p>
        </w:tc>
        <w:tc>
          <w:tcPr>
            <w:tcW w:type="dxa" w:w="817"/>
          </w:tcPr>
          <w:p w14:paraId="15000000">
            <w:pPr>
              <w:rPr/>
            </w:pPr>
          </w:p>
        </w:tc>
        <w:tc>
          <w:tcPr>
            <w:tcW w:type="dxa" w:w="4299"/>
          </w:tcPr>
          <w:p w14:paraId="16000000">
            <w:pPr>
              <w:rPr/>
            </w:pPr>
          </w:p>
        </w:tc>
      </w:tr>
      <w:tr>
        <w:trPr>
          <w:trHeight w:hRule="atLeast" w:val="423"/>
        </w:trPr>
        <w:tc>
          <w:tcPr>
            <w:tcW w:type="dxa" w:w="4240"/>
          </w:tcPr>
          <w:p w14:paraId="17000000">
            <w:pPr>
              <w:spacing w:line="252" w:lineRule="auto"/>
              <w:ind w:hanging="74" w:left="74"/>
              <w:rPr/>
            </w:pPr>
            <w:r>
              <w:rPr/>
              <w:t>На №____________ от ________</w:t>
            </w:r>
          </w:p>
          <w:p w14:paraId="18000000">
            <w:pPr>
              <w:ind w:hanging="76" w:left="76"/>
              <w:rPr/>
            </w:pPr>
          </w:p>
        </w:tc>
        <w:tc>
          <w:tcPr>
            <w:tcW w:type="dxa" w:w="817"/>
          </w:tcPr>
          <w:p w14:paraId="19000000">
            <w:pPr>
              <w:rPr/>
            </w:pPr>
          </w:p>
        </w:tc>
        <w:tc>
          <w:tcPr>
            <w:tcW w:type="dxa" w:w="4299"/>
          </w:tcPr>
          <w:p w14:paraId="1A000000">
            <w:pPr>
              <w:rPr/>
            </w:pPr>
          </w:p>
        </w:tc>
      </w:tr>
    </w:tbl>
    <w:p w14:paraId="1B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Об исполнении бюджета </w:t>
      </w:r>
    </w:p>
    <w:p w14:paraId="1C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города Ставрополя </w:t>
      </w:r>
    </w:p>
    <w:p w14:paraId="1D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 </w:t>
      </w:r>
      <w:r>
        <w:rPr>
          <w:rFonts w:ascii="Times New Roman" w:hAnsi="Times New Roman"/>
          <w:sz w:val="27"/>
        </w:rPr>
        <w:t xml:space="preserve">январь – август </w:t>
      </w:r>
      <w:r>
        <w:rPr>
          <w:rFonts w:ascii="Times New Roman" w:hAnsi="Times New Roman"/>
          <w:sz w:val="27"/>
        </w:rPr>
        <w:t>2024 года</w:t>
      </w:r>
    </w:p>
    <w:p w14:paraId="1E000000">
      <w:pPr>
        <w:rPr/>
      </w:pPr>
    </w:p>
    <w:p w14:paraId="1F000000">
      <w:pPr>
        <w:pStyle w:val="Style_4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20000000">
      <w:pPr>
        <w:ind/>
        <w:jc w:val="center"/>
        <w:rPr/>
      </w:pPr>
    </w:p>
    <w:p w14:paraId="21000000">
      <w:pPr>
        <w:pStyle w:val="Style_4"/>
        <w:widowControl w:val="0"/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 xml:space="preserve">январь – август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> 042 </w:t>
      </w:r>
      <w:r>
        <w:rPr>
          <w:rFonts w:ascii="Times New Roman" w:hAnsi="Times New Roman"/>
          <w:sz w:val="28"/>
        </w:rPr>
        <w:t>380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по расходам в сумме 1</w:t>
      </w:r>
      <w:r>
        <w:rPr>
          <w:rFonts w:ascii="Times New Roman" w:hAnsi="Times New Roman"/>
          <w:color w:val="000000"/>
          <w:spacing w:val="0"/>
          <w:sz w:val="28"/>
        </w:rPr>
        <w:t>2 250</w:t>
      </w:r>
      <w:r>
        <w:rPr>
          <w:rFonts w:ascii="Times New Roman" w:hAnsi="Times New Roman"/>
          <w:sz w:val="28"/>
        </w:rPr>
        <w:t> 956</w:t>
      </w:r>
      <w:r>
        <w:rPr>
          <w:rFonts w:ascii="Times New Roman" w:hAnsi="Times New Roman"/>
          <w:sz w:val="28"/>
        </w:rPr>
        <w:t xml:space="preserve"> тыс. рублей с превышением </w:t>
      </w:r>
      <w:r>
        <w:rPr>
          <w:rFonts w:ascii="Times New Roman" w:hAnsi="Times New Roman"/>
          <w:sz w:val="28"/>
        </w:rPr>
        <w:t>доход</w:t>
      </w:r>
      <w:r>
        <w:rPr>
          <w:rFonts w:ascii="Times New Roman" w:hAnsi="Times New Roman"/>
          <w:sz w:val="28"/>
        </w:rPr>
        <w:t xml:space="preserve">ов над </w:t>
      </w:r>
      <w:r>
        <w:rPr>
          <w:rFonts w:ascii="Times New Roman" w:hAnsi="Times New Roman"/>
          <w:sz w:val="28"/>
        </w:rPr>
        <w:t>расход</w:t>
      </w:r>
      <w:r>
        <w:rPr>
          <w:rFonts w:ascii="Times New Roman" w:hAnsi="Times New Roman"/>
          <w:sz w:val="28"/>
        </w:rPr>
        <w:t>ами в сумме 208</w:t>
      </w:r>
      <w:r>
        <w:rPr>
          <w:rFonts w:ascii="Times New Roman" w:hAnsi="Times New Roman"/>
          <w:color w:val="000000"/>
          <w:sz w:val="28"/>
        </w:rPr>
        <w:t> 576</w:t>
      </w:r>
      <w:r>
        <w:rPr>
          <w:rFonts w:ascii="Times New Roman" w:hAnsi="Times New Roman"/>
          <w:sz w:val="28"/>
        </w:rPr>
        <w:t xml:space="preserve"> тыс. рублей.</w:t>
      </w:r>
    </w:p>
    <w:p w14:paraId="22000000">
      <w:pPr>
        <w:widowControl w:val="0"/>
        <w:spacing w:line="228" w:lineRule="auto"/>
        <w:ind w:firstLine="709" w:left="0"/>
        <w:jc w:val="both"/>
        <w:rPr/>
      </w:pPr>
      <w:r>
        <w:rPr/>
        <w:t xml:space="preserve">По сравнению </w:t>
      </w:r>
      <w:r>
        <w:rPr/>
        <w:t xml:space="preserve">с </w:t>
      </w:r>
      <w:r>
        <w:rPr/>
        <w:t>прошл</w:t>
      </w:r>
      <w:r>
        <w:rPr/>
        <w:t>ым годом</w:t>
      </w:r>
      <w:r>
        <w:rPr/>
        <w:t xml:space="preserve"> объем поступлений в бюджет города Ставрополя </w:t>
      </w:r>
      <w:r>
        <w:rPr/>
        <w:t>увеличился</w:t>
      </w:r>
      <w:r>
        <w:rPr/>
        <w:t xml:space="preserve"> на </w:t>
      </w:r>
      <w:r>
        <w:rPr/>
        <w:t>8</w:t>
      </w:r>
      <w:r>
        <w:rPr/>
        <w:t>,</w:t>
      </w:r>
      <w:r>
        <w:rPr/>
        <w:t>1</w:t>
      </w:r>
      <w:r>
        <w:rPr/>
        <w:t xml:space="preserve"> </w:t>
      </w:r>
      <w:r>
        <w:rPr/>
        <w:t xml:space="preserve">процента. </w:t>
      </w:r>
      <w:r>
        <w:rPr/>
        <w:t xml:space="preserve">Поступления по налоговым и неналоговым доходам увеличились </w:t>
      </w:r>
      <w:r>
        <w:rPr/>
        <w:t xml:space="preserve">на </w:t>
      </w:r>
      <w:r>
        <w:rPr/>
        <w:t>2</w:t>
      </w:r>
      <w:r>
        <w:rPr/>
        <w:t>4</w:t>
      </w:r>
      <w:r>
        <w:rPr/>
        <w:t>,</w:t>
      </w:r>
      <w:r>
        <w:rPr/>
        <w:t>3</w:t>
      </w:r>
      <w:r>
        <w:rPr/>
        <w:t xml:space="preserve"> процента</w:t>
      </w:r>
      <w:r>
        <w:rPr/>
        <w:t>.</w:t>
      </w:r>
    </w:p>
    <w:p w14:paraId="23000000">
      <w:pPr>
        <w:spacing w:line="228" w:lineRule="auto"/>
        <w:ind w:firstLine="709" w:left="0"/>
        <w:jc w:val="both"/>
        <w:rPr/>
      </w:pPr>
      <w:r>
        <w:rPr/>
        <w:t>Объем произведенных расходов увеличился</w:t>
      </w:r>
      <w:r>
        <w:rPr/>
        <w:t xml:space="preserve"> по сравнению с аналогичным периодом 202</w:t>
      </w:r>
      <w:r>
        <w:rPr/>
        <w:t>3</w:t>
      </w:r>
      <w:r>
        <w:rPr/>
        <w:t xml:space="preserve"> года на</w:t>
      </w:r>
      <w:r>
        <w:rPr/>
        <w:t xml:space="preserve"> </w:t>
      </w:r>
      <w:r>
        <w:rPr/>
        <w:t>2</w:t>
      </w:r>
      <w:r>
        <w:rPr/>
        <w:t>,6</w:t>
      </w:r>
      <w:r>
        <w:rPr/>
        <w:t xml:space="preserve"> процента.</w:t>
      </w:r>
    </w:p>
    <w:p w14:paraId="24000000">
      <w:pPr>
        <w:spacing w:line="228" w:lineRule="auto"/>
        <w:ind w:firstLine="709" w:left="0"/>
        <w:jc w:val="both"/>
        <w:rPr/>
      </w:pPr>
    </w:p>
    <w:p w14:paraId="25000000">
      <w:pPr>
        <w:widowControl w:val="0"/>
        <w:spacing w:line="228" w:lineRule="auto"/>
        <w:ind w:firstLine="2694" w:left="0"/>
        <w:jc w:val="both"/>
        <w:rPr/>
      </w:pPr>
      <w:r>
        <w:rPr/>
        <w:t>Доходы бюджета города Ставрополя</w:t>
      </w:r>
    </w:p>
    <w:p w14:paraId="26000000">
      <w:pPr>
        <w:widowControl w:val="0"/>
        <w:spacing w:line="228" w:lineRule="auto"/>
        <w:ind w:firstLine="2694" w:left="0"/>
        <w:jc w:val="both"/>
        <w:rPr/>
      </w:pPr>
    </w:p>
    <w:p w14:paraId="2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 xml:space="preserve">За </w:t>
      </w:r>
      <w:r>
        <w:rPr/>
        <w:t xml:space="preserve">январь – август </w:t>
      </w:r>
      <w:r>
        <w:rPr/>
        <w:t>202</w:t>
      </w:r>
      <w:r>
        <w:rPr/>
        <w:t>4</w:t>
      </w:r>
      <w:r>
        <w:rPr/>
        <w:t xml:space="preserve"> год</w:t>
      </w:r>
      <w:r>
        <w:rPr/>
        <w:t>а</w:t>
      </w:r>
      <w:r>
        <w:rPr/>
        <w:t xml:space="preserve"> объем налоговых и неналоговых доходов в бюджет города Ставропол</w:t>
      </w:r>
      <w:r>
        <w:rPr/>
        <w:t xml:space="preserve">я составил </w:t>
      </w:r>
      <w:r>
        <w:rPr/>
        <w:t>4 551 05</w:t>
      </w:r>
      <w:r>
        <w:rPr/>
        <w:t>0</w:t>
      </w:r>
      <w:r>
        <w:rPr/>
        <w:t xml:space="preserve"> </w:t>
      </w:r>
      <w:r>
        <w:rPr/>
        <w:t xml:space="preserve">тыс. </w:t>
      </w:r>
      <w:r>
        <w:rPr/>
        <w:t>рублей. Бюджетн</w:t>
      </w:r>
      <w:r>
        <w:rPr/>
        <w:t xml:space="preserve">ые назначения исполнены на </w:t>
      </w:r>
      <w:r>
        <w:rPr/>
        <w:t>100,</w:t>
      </w:r>
      <w:r>
        <w:rPr/>
        <w:t>2</w:t>
      </w:r>
      <w:r>
        <w:rPr/>
        <w:t xml:space="preserve"> процент</w:t>
      </w:r>
      <w:r>
        <w:rPr/>
        <w:t>а</w:t>
      </w:r>
      <w:r>
        <w:rPr/>
        <w:t xml:space="preserve">, плановый прогнозный показатель по налоговым и неналоговым доходам перевыполнен на </w:t>
      </w:r>
      <w:r>
        <w:rPr/>
        <w:t>8 85</w:t>
      </w:r>
      <w:r>
        <w:rPr/>
        <w:t>8</w:t>
      </w:r>
      <w:r>
        <w:rPr/>
        <w:t xml:space="preserve"> </w:t>
      </w:r>
      <w:r>
        <w:rPr/>
        <w:t>тыс. рублей.</w:t>
      </w:r>
    </w:p>
    <w:p w14:paraId="2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>Структура доходов:</w:t>
      </w:r>
    </w:p>
    <w:p w14:paraId="29000000">
      <w:pPr>
        <w:widowControl w:val="0"/>
        <w:spacing w:line="228" w:lineRule="auto"/>
        <w:ind w:firstLine="708" w:left="0"/>
        <w:jc w:val="both"/>
        <w:rPr/>
      </w:pPr>
      <w:r>
        <w:rPr/>
        <w:t xml:space="preserve">налоговые доходы – </w:t>
      </w:r>
      <w:r>
        <w:rPr/>
        <w:t>4 054 008</w:t>
      </w:r>
      <w:r>
        <w:rPr/>
        <w:t xml:space="preserve"> </w:t>
      </w:r>
      <w:r>
        <w:rPr/>
        <w:t>тыс. рублей (</w:t>
      </w:r>
      <w:r>
        <w:rPr/>
        <w:t>8</w:t>
      </w:r>
      <w:r>
        <w:rPr/>
        <w:t>9</w:t>
      </w:r>
      <w:r>
        <w:rPr/>
        <w:t>,</w:t>
      </w:r>
      <w:r>
        <w:rPr/>
        <w:t>1</w:t>
      </w:r>
      <w:r>
        <w:rPr/>
        <w:t xml:space="preserve"> процента к сумме налоговых и неналоговых доходов);</w:t>
      </w:r>
    </w:p>
    <w:p w14:paraId="2A000000">
      <w:pPr>
        <w:widowControl w:val="0"/>
        <w:spacing w:line="228" w:lineRule="auto"/>
        <w:ind w:firstLine="708" w:left="0"/>
        <w:jc w:val="both"/>
        <w:rPr/>
      </w:pPr>
      <w:r>
        <w:rPr/>
        <w:t xml:space="preserve">неналоговые доходы – </w:t>
      </w:r>
      <w:r>
        <w:rPr/>
        <w:t>497 04</w:t>
      </w:r>
      <w:r>
        <w:rPr/>
        <w:t>2</w:t>
      </w:r>
      <w:r>
        <w:rPr/>
        <w:t xml:space="preserve"> </w:t>
      </w:r>
      <w:r>
        <w:rPr/>
        <w:t>тыс. рублей (</w:t>
      </w:r>
      <w:r>
        <w:rPr/>
        <w:t>1</w:t>
      </w:r>
      <w:r>
        <w:rPr/>
        <w:t>0</w:t>
      </w:r>
      <w:r>
        <w:rPr/>
        <w:t>,</w:t>
      </w:r>
      <w:r>
        <w:rPr/>
        <w:t>9</w:t>
      </w:r>
      <w:r>
        <w:rPr/>
        <w:t xml:space="preserve"> процента к сумме налоговых и неналоговых доходов);</w:t>
      </w:r>
    </w:p>
    <w:p w14:paraId="2B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 xml:space="preserve">безвозмездные поступления – </w:t>
      </w:r>
      <w:r>
        <w:rPr/>
        <w:t>7</w:t>
      </w:r>
      <w:r>
        <w:rPr/>
        <w:t> 491 330</w:t>
      </w:r>
      <w:r>
        <w:rPr/>
        <w:t xml:space="preserve"> </w:t>
      </w:r>
      <w:r>
        <w:rPr/>
        <w:t xml:space="preserve">тыс. рублей (из них возврат остатков прошлых лет субсидий и субвенций из бюджетов городских округов в сумме </w:t>
      </w:r>
      <w:r>
        <w:rPr/>
        <w:t>-</w:t>
      </w:r>
      <w:r>
        <w:rPr/>
        <w:t>3</w:t>
      </w:r>
      <w:r>
        <w:rPr/>
        <w:t>3</w:t>
      </w:r>
      <w:r>
        <w:rPr/>
        <w:t xml:space="preserve"> </w:t>
      </w:r>
      <w:r>
        <w:rPr/>
        <w:t>879</w:t>
      </w:r>
      <w:r>
        <w:rPr/>
        <w:t xml:space="preserve"> тыс. рублей).</w:t>
      </w:r>
    </w:p>
    <w:p w14:paraId="2C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 xml:space="preserve">План по налоговым доходам выполнен в целом на </w:t>
      </w:r>
      <w:r>
        <w:rPr/>
        <w:t>10</w:t>
      </w:r>
      <w:r>
        <w:rPr/>
        <w:t>0</w:t>
      </w:r>
      <w:r>
        <w:rPr/>
        <w:t>,</w:t>
      </w:r>
      <w:r>
        <w:rPr/>
        <w:t>9</w:t>
      </w:r>
      <w:r>
        <w:rPr/>
        <w:t xml:space="preserve"> процент</w:t>
      </w:r>
      <w:r>
        <w:rPr/>
        <w:t>а</w:t>
      </w:r>
      <w:r>
        <w:rPr/>
        <w:t>, в</w:t>
      </w:r>
      <w:r>
        <w:rPr/>
        <w:t> </w:t>
      </w:r>
      <w:r>
        <w:rPr/>
        <w:t xml:space="preserve">бюджет города Ставрополя дополнительно поступило платежей в сумме </w:t>
      </w:r>
      <w:r>
        <w:rPr/>
        <w:br/>
      </w:r>
      <w:r>
        <w:rPr/>
        <w:t>37 658</w:t>
      </w:r>
      <w:r>
        <w:rPr/>
        <w:t xml:space="preserve"> </w:t>
      </w:r>
      <w:r>
        <w:rPr/>
        <w:t> тыс. рублей.</w:t>
      </w:r>
    </w:p>
    <w:p w14:paraId="2D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В доход бюджета города Ставрополя сверх установленных плановых назначений поступили платежи:</w:t>
      </w:r>
    </w:p>
    <w:p w14:paraId="2E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по нало</w:t>
      </w:r>
      <w:r>
        <w:rPr/>
        <w:t xml:space="preserve">гу на доходы физических лиц – </w:t>
      </w:r>
      <w:r>
        <w:rPr/>
        <w:t>33 070</w:t>
      </w:r>
      <w:r>
        <w:rPr/>
        <w:t xml:space="preserve"> </w:t>
      </w:r>
      <w:r>
        <w:rPr/>
        <w:t>тыс. рублей;</w:t>
      </w:r>
    </w:p>
    <w:p w14:paraId="2F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по государственной пошлине – 6 176 тыс. рублей;</w:t>
      </w:r>
    </w:p>
    <w:p w14:paraId="30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 xml:space="preserve">по налогу, взимаемому в связи с применением упрощенной </w:t>
      </w:r>
      <w:r>
        <w:rPr/>
        <w:t>системы налогообложения, – 5 479</w:t>
      </w:r>
      <w:r>
        <w:rPr/>
        <w:t xml:space="preserve"> тыс. рублей;</w:t>
      </w:r>
    </w:p>
    <w:p w14:paraId="31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по акцизам по подакцизным товарам (продукции) – 1 518 тыс. рублей;</w:t>
      </w:r>
    </w:p>
    <w:p w14:paraId="32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по налогу, взимаемому в связи с применением патентной системы налогообложения, – 821 тыс. рублей;</w:t>
      </w:r>
    </w:p>
    <w:p w14:paraId="33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по единому с</w:t>
      </w:r>
      <w:r>
        <w:rPr/>
        <w:t>ельскохозяйственному налогу –</w:t>
      </w:r>
      <w:r>
        <w:rPr/>
        <w:t xml:space="preserve"> 636</w:t>
      </w:r>
      <w:r>
        <w:rPr/>
        <w:t xml:space="preserve"> тыс. рублей;</w:t>
      </w:r>
    </w:p>
    <w:p w14:paraId="34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по единому налогу на вмененный доход от отдельных видов деятельности – 393 тыс. рублей;</w:t>
      </w:r>
    </w:p>
    <w:p w14:paraId="35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План по налоговым доходам не выполнен</w:t>
      </w:r>
      <w:r>
        <w:rPr/>
        <w:t xml:space="preserve"> по земельному налогу –</w:t>
      </w:r>
      <w:r>
        <w:rPr/>
        <w:t xml:space="preserve"> </w:t>
      </w:r>
      <w:r>
        <w:rPr/>
        <w:br/>
      </w:r>
      <w:r>
        <w:rPr/>
        <w:t xml:space="preserve">на 3 432 </w:t>
      </w:r>
      <w:r>
        <w:rPr/>
        <w:t>тыс. рублей;</w:t>
      </w:r>
      <w:r>
        <w:rPr/>
        <w:t xml:space="preserve"> </w:t>
      </w:r>
      <w:r>
        <w:rPr/>
        <w:t xml:space="preserve">по налогу на имущество физических лиц </w:t>
      </w:r>
      <w:r>
        <w:rPr/>
        <w:t xml:space="preserve">– на </w:t>
      </w:r>
      <w:r>
        <w:rPr/>
        <w:t>7 003</w:t>
      </w:r>
      <w:r>
        <w:rPr/>
        <w:t xml:space="preserve"> </w:t>
      </w:r>
      <w:r>
        <w:rPr/>
        <w:t>тыс. рублей</w:t>
      </w:r>
      <w:r>
        <w:rPr/>
        <w:t xml:space="preserve"> </w:t>
      </w:r>
      <w:r>
        <w:rPr/>
        <w:t>(администратор – Управление Федеральной налоговой службы по Ставропольскому краю).</w:t>
      </w:r>
    </w:p>
    <w:p w14:paraId="3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 xml:space="preserve">План по неналоговым доходам выполнен на </w:t>
      </w:r>
      <w:r>
        <w:rPr/>
        <w:t>9</w:t>
      </w:r>
      <w:r>
        <w:rPr/>
        <w:t>4</w:t>
      </w:r>
      <w:r>
        <w:rPr/>
        <w:t>,</w:t>
      </w:r>
      <w:r>
        <w:rPr/>
        <w:t>5</w:t>
      </w:r>
      <w:r>
        <w:rPr/>
        <w:t xml:space="preserve"> процента, в бюджет города Ставрополя </w:t>
      </w:r>
      <w:r>
        <w:rPr/>
        <w:t>не</w:t>
      </w:r>
      <w:r>
        <w:rPr/>
        <w:t xml:space="preserve"> поступило платежей в сумме </w:t>
      </w:r>
      <w:r>
        <w:rPr/>
        <w:t xml:space="preserve">28 </w:t>
      </w:r>
      <w:r>
        <w:rPr/>
        <w:t>800</w:t>
      </w:r>
      <w:r>
        <w:rPr/>
        <w:t xml:space="preserve"> тыс. рублей.</w:t>
      </w:r>
    </w:p>
    <w:p w14:paraId="37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>План по неналоговым доходам перевыполнен:</w:t>
      </w:r>
    </w:p>
    <w:p w14:paraId="38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– на 2 741 тыс. рублей;</w:t>
      </w:r>
    </w:p>
    <w:p w14:paraId="39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по доходам от оказания платных услуг (работ) и компенсации затрат государства – на 1 307 тыс. рублей;</w:t>
      </w:r>
    </w:p>
    <w:p w14:paraId="3A000000">
      <w:pPr>
        <w:spacing w:line="228" w:lineRule="auto"/>
        <w:ind w:firstLine="709" w:left="0"/>
        <w:jc w:val="both"/>
        <w:rPr/>
      </w:pPr>
      <w:r>
        <w:rPr/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1 053 тыс. рублей;</w:t>
      </w:r>
    </w:p>
    <w:p w14:paraId="3B000000">
      <w:pPr>
        <w:ind w:firstLine="629" w:left="80"/>
        <w:jc w:val="both"/>
        <w:rPr/>
      </w:pPr>
      <w:r>
        <w:rPr/>
        <w:t>по плате за негативное воздействие на окружающую среду – на 285</w:t>
      </w:r>
      <w:r>
        <w:rPr/>
        <w:t> </w:t>
      </w:r>
      <w:r>
        <w:rPr/>
        <w:t>тыс. рублей;</w:t>
      </w:r>
    </w:p>
    <w:p w14:paraId="3C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 xml:space="preserve">по прочим </w:t>
      </w:r>
      <w:r>
        <w:rPr/>
        <w:t>неналоговым доходам – на 110</w:t>
      </w:r>
      <w:r>
        <w:rPr/>
        <w:t xml:space="preserve"> тыс. рублей</w:t>
      </w:r>
      <w:r>
        <w:rPr/>
        <w:t>.</w:t>
      </w:r>
    </w:p>
    <w:p w14:paraId="3D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>План по неналоговым доходам не выполнен:</w:t>
      </w:r>
    </w:p>
    <w:p w14:paraId="3E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rPr/>
        <w:t xml:space="preserve"> – </w:t>
      </w:r>
      <w:r>
        <w:rPr/>
        <w:br/>
      </w:r>
      <w:r>
        <w:rPr/>
        <w:t xml:space="preserve">на </w:t>
      </w:r>
      <w:r>
        <w:rPr/>
        <w:t>23 30</w:t>
      </w:r>
      <w:r>
        <w:rPr/>
        <w:t>9</w:t>
      </w:r>
      <w:r>
        <w:rPr/>
        <w:t xml:space="preserve"> тыс. рублей</w:t>
      </w:r>
      <w:r>
        <w:rPr/>
        <w:t xml:space="preserve"> (администратор – комитет по управлению муниципальным имуществом города Ставрополя)</w:t>
      </w:r>
      <w:r>
        <w:rPr/>
        <w:t>;</w:t>
      </w:r>
    </w:p>
    <w:p w14:paraId="3F000000">
      <w:pPr>
        <w:spacing w:line="228" w:lineRule="auto"/>
        <w:ind w:firstLine="709" w:left="0"/>
        <w:jc w:val="both"/>
        <w:rPr/>
      </w:pPr>
      <w:r>
        <w:rPr/>
        <w:t>по доходам от продажи земельных участков, находящихся в государственной и муницип</w:t>
      </w:r>
      <w:r>
        <w:rPr/>
        <w:t>альной собственности, – на 7 810</w:t>
      </w:r>
      <w:r>
        <w:rPr/>
        <w:t xml:space="preserve"> тыс. рублей (администратор – комитет по управлению муниципальным имуществом города Ставрополя);</w:t>
      </w:r>
    </w:p>
    <w:p w14:paraId="40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/>
      </w:pPr>
      <w:r>
        <w:rPr/>
        <w:t>по штрафным санкци</w:t>
      </w:r>
      <w:r>
        <w:rPr/>
        <w:t>ям, возмещению ущерба – на 1 385</w:t>
      </w:r>
      <w:r>
        <w:rPr/>
        <w:t xml:space="preserve"> тыс. рублей;</w:t>
      </w:r>
    </w:p>
    <w:p w14:paraId="41000000">
      <w:pPr>
        <w:widowControl w:val="0"/>
        <w:tabs>
          <w:tab w:leader="none" w:pos="709" w:val="left"/>
        </w:tabs>
        <w:ind w:firstLine="709" w:left="0"/>
        <w:jc w:val="both"/>
        <w:rPr/>
      </w:pPr>
      <w:r>
        <w:rPr/>
        <w:t>по прочим поступлениям от использования имущества, находящегося в собственнос</w:t>
      </w:r>
      <w:r>
        <w:rPr/>
        <w:t>ти городских округов, – на 1 014</w:t>
      </w:r>
      <w:r>
        <w:rPr/>
        <w:t xml:space="preserve"> тыс. рублей, </w:t>
      </w:r>
      <w:r>
        <w:rPr/>
        <w:t>в том числе</w:t>
      </w:r>
      <w:r>
        <w:rPr/>
        <w:t xml:space="preserve"> </w:t>
      </w:r>
      <w:r>
        <w:rPr/>
        <w:t>по плате за предоставление права на размещение и эксплуатацию нестационарного торгового объекта на 1 </w:t>
      </w:r>
      <w:r>
        <w:rPr/>
        <w:t>0</w:t>
      </w:r>
      <w:r>
        <w:rPr/>
        <w:t>89</w:t>
      </w:r>
      <w:r>
        <w:rPr/>
        <w:t xml:space="preserve"> тыс. рублей (администратор – комитет экономического развития и торговли администрации города Ставрополя)</w:t>
      </w:r>
      <w:r>
        <w:rPr/>
        <w:t xml:space="preserve"> и </w:t>
      </w:r>
      <w:r>
        <w:rPr/>
        <w:t xml:space="preserve"> </w:t>
      </w:r>
      <w:r>
        <w:rPr/>
        <w:t>плате по договорам на установку и эксплуатацию рекламной конструкции на 18 тыс. рублей (администратор – комитет градостроительства администрации города Ставрополя)</w:t>
      </w:r>
      <w:r>
        <w:rPr/>
        <w:t>;</w:t>
      </w:r>
    </w:p>
    <w:p w14:paraId="42000000">
      <w:pPr>
        <w:spacing w:line="228" w:lineRule="auto"/>
        <w:ind w:firstLine="709" w:left="0"/>
        <w:jc w:val="both"/>
        <w:rPr/>
      </w:pPr>
      <w:r>
        <w:rPr/>
        <w:t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</w:t>
      </w:r>
      <w:r>
        <w:rPr/>
        <w:t xml:space="preserve"> автономных учреждений), – на 600</w:t>
      </w:r>
      <w:r>
        <w:rPr/>
        <w:t xml:space="preserve"> тыс. рублей</w:t>
      </w:r>
      <w:r>
        <w:rPr/>
        <w:t xml:space="preserve"> (администратор – комитет по управлению муниципальным имуществом города Ставрополя)</w:t>
      </w:r>
      <w:r>
        <w:rPr/>
        <w:t>;</w:t>
      </w:r>
    </w:p>
    <w:p w14:paraId="43000000">
      <w:pPr>
        <w:spacing w:line="228" w:lineRule="auto"/>
        <w:ind w:firstLine="709" w:left="0"/>
        <w:jc w:val="both"/>
        <w:rPr/>
      </w:pPr>
      <w:r>
        <w:rPr/>
        <w:t xml:space="preserve"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</w:t>
      </w:r>
      <w:r>
        <w:rPr/>
        <w:t>1</w:t>
      </w:r>
      <w:r>
        <w:rPr/>
        <w:t>78</w:t>
      </w:r>
      <w:r>
        <w:rPr/>
        <w:t xml:space="preserve"> тыс. рублей </w:t>
      </w:r>
      <w:r>
        <w:rPr/>
        <w:t>(администратор – комитет по управлению муниципальны</w:t>
      </w:r>
      <w:r>
        <w:rPr/>
        <w:t>м имуществом города Ставрополя)</w:t>
      </w:r>
      <w:r>
        <w:rPr/>
        <w:t>.</w:t>
      </w:r>
    </w:p>
    <w:p w14:paraId="44000000">
      <w:pPr>
        <w:widowControl w:val="0"/>
        <w:spacing w:line="228" w:lineRule="auto"/>
        <w:ind w:firstLine="709" w:left="0"/>
        <w:jc w:val="center"/>
        <w:rPr/>
      </w:pPr>
    </w:p>
    <w:p w14:paraId="45000000">
      <w:pPr>
        <w:widowControl w:val="0"/>
        <w:spacing w:line="228" w:lineRule="auto"/>
        <w:ind w:firstLine="709" w:left="0"/>
        <w:jc w:val="center"/>
        <w:rPr/>
      </w:pPr>
      <w:r>
        <w:rPr/>
        <w:t>Расходы бюджета города Ставрополя</w:t>
      </w:r>
    </w:p>
    <w:p w14:paraId="46000000">
      <w:pPr>
        <w:widowControl w:val="0"/>
        <w:spacing w:line="228" w:lineRule="auto"/>
        <w:ind w:firstLine="709" w:left="0"/>
        <w:jc w:val="center"/>
        <w:rPr/>
      </w:pPr>
    </w:p>
    <w:p w14:paraId="47000000">
      <w:pPr>
        <w:widowControl w:val="0"/>
        <w:spacing w:line="228" w:lineRule="auto"/>
        <w:ind w:firstLine="709" w:left="0"/>
        <w:jc w:val="both"/>
        <w:rPr/>
      </w:pPr>
      <w:r>
        <w:rPr/>
        <w:t xml:space="preserve">Фактические кассовые расходы бюджета города Ставрополя </w:t>
      </w:r>
      <w:r>
        <w:rPr/>
        <w:br/>
      </w:r>
      <w:r>
        <w:rPr/>
        <w:t>за январь – август 202</w:t>
      </w:r>
      <w:r>
        <w:rPr/>
        <w:t>4</w:t>
      </w:r>
      <w:r>
        <w:rPr/>
        <w:t xml:space="preserve"> года составили </w:t>
      </w:r>
      <w:r>
        <w:rPr/>
        <w:t>1</w:t>
      </w:r>
      <w:r>
        <w:rPr>
          <w:rFonts w:ascii="Times New Roman" w:hAnsi="Times New Roman"/>
          <w:color w:val="000000"/>
          <w:spacing w:val="0"/>
          <w:sz w:val="28"/>
        </w:rPr>
        <w:t>2 250</w:t>
      </w:r>
      <w:r>
        <w:rPr/>
        <w:t xml:space="preserve"> 956 </w:t>
      </w:r>
      <w:r>
        <w:rPr/>
        <w:t xml:space="preserve">тыс. рублей, или </w:t>
      </w:r>
      <w:r>
        <w:rPr/>
        <w:br/>
      </w:r>
      <w:r>
        <w:rPr/>
        <w:t>96,9</w:t>
      </w:r>
      <w:r>
        <w:rPr/>
        <w:t xml:space="preserve"> процента к кассовому плану на январь – август 202</w:t>
      </w:r>
      <w:r>
        <w:rPr/>
        <w:t>4</w:t>
      </w:r>
      <w:r>
        <w:rPr/>
        <w:t xml:space="preserve"> года. </w:t>
      </w:r>
    </w:p>
    <w:p w14:paraId="48000000">
      <w:pPr>
        <w:spacing w:line="228" w:lineRule="auto"/>
        <w:ind w:firstLine="709" w:left="0"/>
        <w:jc w:val="both"/>
        <w:rPr/>
      </w:pPr>
      <w:r>
        <w:rPr/>
        <w:t>В разрезе главных распорядителей исполнение плановых назначений сложилось следующим образом.</w:t>
      </w:r>
    </w:p>
    <w:p w14:paraId="49000000">
      <w:pPr>
        <w:spacing w:line="228" w:lineRule="auto"/>
        <w:ind/>
        <w:rPr>
          <w:sz w:val="18"/>
        </w:rPr>
      </w:pPr>
    </w:p>
    <w:p w14:paraId="4A000000">
      <w:pPr>
        <w:widowControl w:val="0"/>
        <w:tabs>
          <w:tab w:leader="none" w:pos="993" w:val="left"/>
        </w:tabs>
        <w:spacing w:line="228" w:lineRule="auto"/>
        <w:ind/>
        <w:jc w:val="center"/>
        <w:rPr/>
      </w:pPr>
      <w:r>
        <w:rPr/>
        <w:t>Исполнение</w:t>
      </w:r>
    </w:p>
    <w:p w14:paraId="4B000000">
      <w:pPr>
        <w:widowControl w:val="0"/>
        <w:spacing w:line="228" w:lineRule="auto"/>
        <w:ind/>
        <w:jc w:val="center"/>
        <w:rPr/>
      </w:pPr>
      <w:r>
        <w:rPr/>
        <w:t>расходной части бюджета города Ставрополя в разрезе главных распорядителей бюджетных средств за январь – август 2024 года</w:t>
      </w:r>
    </w:p>
    <w:p w14:paraId="4C000000">
      <w:pPr>
        <w:widowControl w:val="0"/>
        <w:spacing w:line="228" w:lineRule="auto"/>
        <w:ind w:firstLine="539" w:left="0"/>
        <w:jc w:val="center"/>
        <w:rPr>
          <w:sz w:val="18"/>
        </w:rPr>
      </w:pPr>
    </w:p>
    <w:p w14:paraId="4D000000">
      <w:pPr>
        <w:widowControl w:val="0"/>
        <w:spacing w:line="228" w:lineRule="auto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2517"/>
        <w:gridCol w:w="1843"/>
        <w:gridCol w:w="1525"/>
        <w:gridCol w:w="1276"/>
        <w:gridCol w:w="1593"/>
      </w:tblGrid>
      <w:tr>
        <w:trPr>
          <w:trHeight w:hRule="atLeast" w:val="866"/>
        </w:trPr>
        <w:tc>
          <w:tcPr>
            <w:tcW w:type="dxa" w:w="70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5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на январь-август</w:t>
            </w:r>
          </w:p>
          <w:p w14:paraId="5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 года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5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</w:tbl>
    <w:p w14:paraId="55000000">
      <w:pPr>
        <w:spacing w:line="228" w:lineRule="auto"/>
        <w:ind/>
        <w:rPr>
          <w:sz w:val="2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708"/>
        <w:gridCol w:w="2517"/>
        <w:gridCol w:w="1843"/>
        <w:gridCol w:w="1525"/>
        <w:gridCol w:w="1276"/>
        <w:gridCol w:w="1593"/>
      </w:tblGrid>
      <w:tr>
        <w:trPr>
          <w:trHeight w:hRule="atLeast" w:val="274"/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6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42 855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42 855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229 170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229 137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4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</w:t>
            </w:r>
            <w:r>
              <w:rPr>
                <w:sz w:val="24"/>
              </w:rPr>
              <w:t>управлению муниципальным имуществом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336 311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336 311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2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88 344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88 344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3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147 573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147 294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279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99,8</w:t>
            </w:r>
          </w:p>
        </w:tc>
      </w:tr>
      <w:tr>
        <w:trPr>
          <w:trHeight w:hRule="atLeast" w:val="51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4 982 277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4 981 780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497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1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565 751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565 009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742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1079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7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1 585 802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1 585 800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D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202 835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202 830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175 575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175 575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12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9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200 370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200 370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1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F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373 431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330 292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43 139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88,4</w:t>
            </w:r>
          </w:p>
        </w:tc>
      </w:tr>
      <w:tr>
        <w:trPr>
          <w:trHeight w:hRule="atLeast" w:val="1237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5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1 657 955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1 657 955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78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B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1 924 961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1 575 916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349 045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81,9</w:t>
            </w:r>
          </w:p>
        </w:tc>
      </w:tr>
      <w:tr>
        <w:trPr>
          <w:trHeight w:hRule="atLeast" w:val="1719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1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</w:t>
            </w:r>
            <w:r>
              <w:rPr>
                <w:sz w:val="24"/>
              </w:rPr>
              <w:t>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115 512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115 512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7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15 976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15 976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61"/>
        </w:trPr>
        <w:tc>
          <w:tcPr>
            <w:tcW w:type="dxa" w:w="32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C000000">
            <w:pPr>
              <w:widowControl w:val="0"/>
              <w:spacing w:line="228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12 644 698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12 250 956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393 742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96,9</w:t>
            </w:r>
          </w:p>
        </w:tc>
      </w:tr>
    </w:tbl>
    <w:p w14:paraId="C1000000">
      <w:pPr>
        <w:widowControl w:val="0"/>
        <w:spacing w:line="228" w:lineRule="auto"/>
        <w:ind w:firstLine="539" w:left="0"/>
        <w:jc w:val="right"/>
        <w:rPr>
          <w:sz w:val="18"/>
        </w:rPr>
      </w:pPr>
    </w:p>
    <w:p w14:paraId="C2000000">
      <w:pPr>
        <w:spacing w:line="228" w:lineRule="auto"/>
        <w:ind w:firstLine="709" w:left="0"/>
        <w:jc w:val="both"/>
        <w:rPr/>
      </w:pPr>
      <w:r>
        <w:rPr/>
        <w:t>В части местных полномочий исполнение плановых назначений за январь – август 202</w:t>
      </w:r>
      <w:r>
        <w:rPr/>
        <w:t>4</w:t>
      </w:r>
      <w:r>
        <w:rPr/>
        <w:t> года составило 99,0</w:t>
      </w:r>
      <w:r>
        <w:rPr/>
        <w:t> процента (при уточненном кассовом плане 4 888</w:t>
      </w:r>
      <w:r>
        <w:rPr>
          <w:rFonts w:ascii="Times New Roman" w:hAnsi="Times New Roman"/>
          <w:color w:val="000000"/>
          <w:spacing w:val="0"/>
          <w:sz w:val="28"/>
        </w:rPr>
        <w:t> 876</w:t>
      </w:r>
      <w:r>
        <w:rPr/>
        <w:t xml:space="preserve"> тыс. рубле</w:t>
      </w:r>
      <w:r>
        <w:rPr/>
        <w:t>й кассовые расходы составили 4 840</w:t>
      </w:r>
      <w:r>
        <w:rPr>
          <w:rFonts w:ascii="Times New Roman" w:hAnsi="Times New Roman"/>
          <w:color w:val="000000"/>
          <w:spacing w:val="0"/>
          <w:sz w:val="28"/>
        </w:rPr>
        <w:t> 349</w:t>
      </w:r>
      <w:r>
        <w:rPr/>
        <w:t xml:space="preserve"> тыс. рублей, остаток составил 48</w:t>
      </w:r>
      <w:r>
        <w:rPr/>
        <w:t> 527</w:t>
      </w:r>
      <w:r>
        <w:rPr/>
        <w:t xml:space="preserve"> тыс. рублей).</w:t>
      </w:r>
    </w:p>
    <w:p w14:paraId="C3000000">
      <w:pPr>
        <w:spacing w:line="228" w:lineRule="auto"/>
        <w:ind w:firstLine="709" w:left="0"/>
        <w:jc w:val="both"/>
        <w:rPr/>
      </w:pPr>
      <w:r>
        <w:rPr/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rPr/>
        <w:br/>
      </w:r>
      <w:r>
        <w:rPr/>
        <w:t>за анализируемый период составило 95,5</w:t>
      </w:r>
      <w:r>
        <w:rPr/>
        <w:t xml:space="preserve"> процента (при уточненном кассовом плане 7 755</w:t>
      </w:r>
      <w:r>
        <w:rPr>
          <w:rFonts w:ascii="Times New Roman" w:hAnsi="Times New Roman"/>
          <w:color w:val="000000"/>
          <w:spacing w:val="0"/>
          <w:sz w:val="28"/>
        </w:rPr>
        <w:t> 822</w:t>
      </w:r>
      <w:r>
        <w:rPr/>
        <w:t xml:space="preserve"> тыс. рублей кассовые расходы составили </w:t>
      </w:r>
      <w:r>
        <w:rPr/>
        <w:br/>
      </w:r>
      <w:r>
        <w:rPr/>
        <w:t>7 410</w:t>
      </w:r>
      <w:r>
        <w:rPr>
          <w:rFonts w:ascii="Times New Roman" w:hAnsi="Times New Roman"/>
          <w:color w:val="000000"/>
          <w:spacing w:val="0"/>
          <w:sz w:val="28"/>
        </w:rPr>
        <w:t xml:space="preserve"> 607 </w:t>
      </w:r>
      <w:r>
        <w:rPr/>
        <w:t>тыс. рублей, остаток составил 345</w:t>
      </w:r>
      <w:r>
        <w:rPr>
          <w:rFonts w:ascii="Times New Roman" w:hAnsi="Times New Roman"/>
          <w:color w:val="000000"/>
          <w:spacing w:val="0"/>
          <w:sz w:val="28"/>
        </w:rPr>
        <w:t> 215</w:t>
      </w:r>
      <w:r>
        <w:rPr/>
        <w:t xml:space="preserve"> тыс. рублей).</w:t>
      </w:r>
    </w:p>
    <w:p w14:paraId="C4000000">
      <w:pPr>
        <w:widowControl w:val="0"/>
        <w:spacing w:line="228" w:lineRule="auto"/>
        <w:ind w:firstLine="709" w:left="0"/>
        <w:jc w:val="both"/>
        <w:rPr/>
      </w:pPr>
      <w:r>
        <w:rPr/>
        <w:t>Исполнение бюджета города Ставрополя за январь – август 202</w:t>
      </w:r>
      <w:r>
        <w:rPr/>
        <w:t>4</w:t>
      </w:r>
      <w:r>
        <w:rPr/>
        <w:t xml:space="preserve"> года к годовым плановым назначениям по расходам составило в целом 53,3</w:t>
      </w:r>
      <w:r>
        <w:rPr/>
        <w:t> процента (за аналогичный период 202</w:t>
      </w:r>
      <w:r>
        <w:rPr/>
        <w:t>3</w:t>
      </w:r>
      <w:r>
        <w:rPr/>
        <w:t xml:space="preserve"> года – 61,5</w:t>
      </w:r>
      <w:r>
        <w:rPr/>
        <w:t xml:space="preserve"> процента).</w:t>
      </w:r>
    </w:p>
    <w:p w14:paraId="C5000000">
      <w:pPr>
        <w:widowControl w:val="0"/>
        <w:spacing w:line="228" w:lineRule="auto"/>
        <w:ind w:firstLine="709" w:left="0"/>
        <w:jc w:val="both"/>
        <w:rPr/>
      </w:pPr>
      <w:r>
        <w:rPr/>
        <w:t xml:space="preserve">Сумма остатков средств на 31.08.2024 на счетах бюджета города Ставрополя уменьшилась по сравнению с началом года на </w:t>
      </w:r>
      <w:r>
        <w:rPr/>
        <w:br/>
      </w:r>
      <w:r>
        <w:rPr/>
        <w:t>530</w:t>
      </w:r>
      <w:r>
        <w:rPr>
          <w:rFonts w:ascii="Times New Roman" w:hAnsi="Times New Roman"/>
          <w:color w:val="000000"/>
          <w:spacing w:val="0"/>
          <w:sz w:val="28"/>
        </w:rPr>
        <w:t> 684</w:t>
      </w:r>
      <w:r>
        <w:rPr/>
        <w:t xml:space="preserve"> тыс. рублей и составила 241</w:t>
      </w:r>
      <w:r>
        <w:rPr>
          <w:rFonts w:ascii="Times New Roman" w:hAnsi="Times New Roman"/>
          <w:color w:val="000000"/>
          <w:spacing w:val="0"/>
          <w:sz w:val="28"/>
        </w:rPr>
        <w:t> 883</w:t>
      </w:r>
      <w:r>
        <w:rPr/>
        <w:t xml:space="preserve"> тыс. рублей.</w:t>
      </w:r>
    </w:p>
    <w:p w14:paraId="C6000000">
      <w:pPr>
        <w:spacing w:line="228" w:lineRule="auto"/>
        <w:ind w:firstLine="709" w:left="0" w:right="-144"/>
        <w:jc w:val="both"/>
        <w:rPr/>
      </w:pPr>
      <w:r>
        <w:rPr/>
        <w:t>Муниципальный долг по состоянию на 3</w:t>
      </w:r>
      <w:r>
        <w:rPr/>
        <w:t>1.08.2024</w:t>
      </w:r>
      <w:r>
        <w:rPr/>
        <w:t xml:space="preserve"> года сос</w:t>
      </w:r>
      <w:r>
        <w:rPr/>
        <w:t>тавил </w:t>
      </w:r>
      <w:r>
        <w:rPr/>
        <w:br/>
      </w:r>
      <w:r>
        <w:rPr/>
        <w:t>1 400</w:t>
      </w:r>
      <w:r>
        <w:rPr/>
        <w:t> 000</w:t>
      </w:r>
      <w:r>
        <w:rPr/>
        <w:t> тыс. рублей</w:t>
      </w:r>
      <w:r>
        <w:rPr/>
        <w:t>,</w:t>
      </w:r>
      <w:r>
        <w:rPr/>
        <w:t xml:space="preserve"> </w:t>
      </w:r>
      <w:r>
        <w:rPr/>
        <w:t>в том числе</w:t>
      </w:r>
      <w:r>
        <w:rPr/>
        <w:t xml:space="preserve"> задолженность по бюджетным кредитам</w:t>
      </w:r>
      <w:r>
        <w:rPr/>
        <w:t xml:space="preserve"> – 500</w:t>
      </w:r>
      <w:r>
        <w:rPr>
          <w:rFonts w:ascii="Times New Roman" w:hAnsi="Times New Roman"/>
          <w:color w:val="000000"/>
          <w:spacing w:val="0"/>
          <w:sz w:val="28"/>
        </w:rPr>
        <w:t> 000</w:t>
      </w:r>
      <w:r>
        <w:rPr/>
        <w:t xml:space="preserve"> тыс. рублей. За</w:t>
      </w:r>
      <w:r>
        <w:rPr/>
        <w:t>долженность по кредитам кредитных организаций составила 900</w:t>
      </w:r>
      <w:r>
        <w:rPr>
          <w:rFonts w:ascii="Times New Roman" w:hAnsi="Times New Roman"/>
          <w:color w:val="000000"/>
          <w:spacing w:val="0"/>
          <w:sz w:val="28"/>
        </w:rPr>
        <w:t> 000 тыс. рублей</w:t>
      </w:r>
      <w:r>
        <w:rPr/>
        <w:t>.</w:t>
      </w:r>
    </w:p>
    <w:p w14:paraId="C7000000">
      <w:pPr>
        <w:spacing w:line="228" w:lineRule="auto"/>
        <w:ind w:firstLine="709" w:left="0" w:right="-144"/>
        <w:jc w:val="both"/>
        <w:rPr/>
      </w:pPr>
      <w:r>
        <w:rPr/>
        <w:t xml:space="preserve">Расходы на обслуживание муниципального долга за январь – август </w:t>
      </w:r>
      <w:r>
        <w:rPr/>
        <w:br/>
      </w:r>
      <w:r>
        <w:rPr/>
        <w:t>2024 года составили 40 575 тыс. рублей.</w:t>
      </w:r>
    </w:p>
    <w:p w14:paraId="C8000000">
      <w:pPr>
        <w:spacing w:line="228" w:lineRule="auto"/>
        <w:ind w:firstLine="709" w:left="0" w:right="-144"/>
        <w:jc w:val="both"/>
        <w:rPr/>
      </w:pPr>
    </w:p>
    <w:p w14:paraId="C9000000">
      <w:pPr>
        <w:spacing w:line="228" w:lineRule="auto"/>
        <w:ind w:firstLine="709" w:left="0"/>
        <w:rPr/>
      </w:pPr>
      <w:r>
        <w:rPr/>
        <w:t xml:space="preserve">Приложение: на </w:t>
      </w:r>
      <w:r>
        <w:rPr/>
        <w:t>5</w:t>
      </w:r>
      <w:r>
        <w:rPr/>
        <w:t xml:space="preserve"> л. в 1 экз.</w:t>
      </w:r>
    </w:p>
    <w:p w14:paraId="CA000000">
      <w:pPr>
        <w:rPr/>
      </w:pPr>
    </w:p>
    <w:p w14:paraId="CB000000">
      <w:pPr>
        <w:rPr/>
      </w:pPr>
    </w:p>
    <w:p w14:paraId="CC000000">
      <w:pPr>
        <w:rPr/>
      </w:pPr>
    </w:p>
    <w:tbl>
      <w:tblPr>
        <w:tblStyle w:val="Style_3"/>
        <w:tblW w:type="auto" w:w="0"/>
        <w:tblInd w:type="dxa" w:w="108"/>
        <w:tblLayout w:type="fixed"/>
      </w:tblPr>
      <w:tblGrid>
        <w:gridCol w:w="285"/>
        <w:gridCol w:w="5404"/>
        <w:gridCol w:w="1138"/>
        <w:gridCol w:w="2560"/>
      </w:tblGrid>
      <w:tr>
        <w:trPr>
          <w:trHeight w:hRule="atLeast" w:val="479"/>
        </w:trPr>
        <w:tc>
          <w:tcPr>
            <w:tcW w:type="dxa" w:w="5689"/>
            <w:gridSpan w:val="2"/>
            <w:shd w:fill="auto" w:val="clear"/>
            <w:vAlign w:val="bottom"/>
          </w:tcPr>
          <w:p w14:paraId="CD000000">
            <w:pPr>
              <w:keepNext w:val="1"/>
              <w:keepLines w:val="1"/>
              <w:spacing w:line="240" w:lineRule="exact"/>
              <w:ind w:firstLine="0" w:left="-108" w:right="-244"/>
              <w:rPr/>
            </w:pPr>
            <w:r>
              <w:rPr/>
              <w:t xml:space="preserve">Заместитель главы </w:t>
            </w:r>
          </w:p>
          <w:p w14:paraId="CE000000">
            <w:pPr>
              <w:keepNext w:val="1"/>
              <w:keepLines w:val="1"/>
              <w:spacing w:line="240" w:lineRule="exact"/>
              <w:ind w:firstLine="0" w:left="-108" w:right="-244"/>
              <w:rPr/>
            </w:pPr>
            <w:r>
              <w:rPr/>
              <w:t xml:space="preserve">администрации города Ставрополя, </w:t>
            </w:r>
          </w:p>
          <w:p w14:paraId="CF000000">
            <w:pPr>
              <w:keepNext w:val="1"/>
              <w:keepLines w:val="1"/>
              <w:spacing w:line="240" w:lineRule="exact"/>
              <w:ind w:firstLine="0" w:left="-108" w:right="-244"/>
              <w:rPr/>
            </w:pPr>
            <w:r>
              <w:rPr/>
              <w:t xml:space="preserve">руководитель комитета финансов и бюджета </w:t>
            </w:r>
          </w:p>
          <w:p w14:paraId="D0000000">
            <w:pPr>
              <w:keepNext w:val="1"/>
              <w:keepLines w:val="1"/>
              <w:spacing w:line="240" w:lineRule="exact"/>
              <w:ind w:firstLine="0" w:left="-108" w:right="-244"/>
              <w:rPr/>
            </w:pPr>
            <w:r>
              <w:rPr/>
              <w:t>администрации города Ставрополя</w:t>
            </w:r>
          </w:p>
        </w:tc>
        <w:tc>
          <w:tcPr>
            <w:tcW w:type="dxa" w:w="1138"/>
          </w:tcPr>
          <w:p w14:paraId="D1000000">
            <w:pPr>
              <w:keepNext w:val="1"/>
              <w:keepLines w:val="1"/>
              <w:ind w:firstLine="0" w:left="-108"/>
              <w:rPr/>
            </w:pPr>
          </w:p>
        </w:tc>
        <w:tc>
          <w:tcPr>
            <w:tcW w:type="dxa" w:w="2560"/>
            <w:shd w:fill="auto" w:val="clear"/>
            <w:vAlign w:val="bottom"/>
          </w:tcPr>
          <w:p w14:paraId="D2000000">
            <w:pPr>
              <w:keepNext w:val="1"/>
              <w:keepLines w:val="1"/>
              <w:ind w:right="-108"/>
              <w:jc w:val="right"/>
              <w:rPr/>
            </w:pPr>
            <w:r>
              <w:rPr/>
              <w:t>Н.А. Бондаренко</w:t>
            </w:r>
          </w:p>
        </w:tc>
      </w:tr>
      <w:tr>
        <w:trPr>
          <w:trHeight w:hRule="atLeast" w:val="1400"/>
        </w:trPr>
        <w:tc>
          <w:tcPr>
            <w:tcW w:type="dxa" w:w="285"/>
            <w:shd w:fill="auto" w:val="clear"/>
          </w:tcPr>
          <w:p w14:paraId="D3000000">
            <w:pPr>
              <w:keepNext w:val="1"/>
              <w:keepLines w:val="1"/>
              <w:ind w:right="-108"/>
              <w:jc w:val="center"/>
              <w:rPr/>
            </w:pPr>
          </w:p>
        </w:tc>
        <w:tc>
          <w:tcPr>
            <w:tcW w:type="dxa" w:w="5404"/>
            <w:shd w:fill="auto" w:val="clear"/>
          </w:tcPr>
          <w:p w14:paraId="D4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8"/>
            <w:shd w:fill="auto" w:val="clear"/>
          </w:tcPr>
          <w:p w14:paraId="D5000000">
            <w:pPr>
              <w:keepNext w:val="1"/>
              <w:keepLines w:val="1"/>
              <w:ind w:right="-108"/>
              <w:jc w:val="both"/>
              <w:rPr/>
            </w:pPr>
          </w:p>
        </w:tc>
        <w:tc>
          <w:tcPr>
            <w:tcW w:type="dxa" w:w="2560"/>
            <w:shd w:fill="auto" w:val="clear"/>
          </w:tcPr>
          <w:p w14:paraId="D6000000">
            <w:pPr>
              <w:keepNext w:val="1"/>
              <w:keepLines w:val="1"/>
              <w:ind w:right="-108"/>
              <w:jc w:val="center"/>
              <w:rPr/>
            </w:pPr>
          </w:p>
        </w:tc>
      </w:tr>
    </w:tbl>
    <w:p w14:paraId="D7000000">
      <w:pPr>
        <w:widowControl w:val="0"/>
        <w:spacing w:line="240" w:lineRule="exact"/>
        <w:ind/>
        <w:jc w:val="both"/>
        <w:rPr>
          <w:sz w:val="18"/>
        </w:rPr>
      </w:pPr>
    </w:p>
    <w:p w14:paraId="D8000000">
      <w:pPr>
        <w:widowControl w:val="0"/>
        <w:spacing w:line="240" w:lineRule="exact"/>
        <w:ind/>
        <w:jc w:val="both"/>
        <w:rPr>
          <w:sz w:val="18"/>
        </w:rPr>
      </w:pPr>
    </w:p>
    <w:p w14:paraId="D9000000">
      <w:pPr>
        <w:widowControl w:val="0"/>
        <w:spacing w:line="240" w:lineRule="exact"/>
        <w:ind/>
        <w:jc w:val="both"/>
        <w:rPr>
          <w:sz w:val="18"/>
        </w:rPr>
      </w:pPr>
    </w:p>
    <w:p w14:paraId="DA000000">
      <w:pPr>
        <w:widowControl w:val="0"/>
        <w:spacing w:line="240" w:lineRule="exact"/>
        <w:ind/>
        <w:jc w:val="both"/>
        <w:rPr>
          <w:sz w:val="18"/>
        </w:rPr>
      </w:pPr>
    </w:p>
    <w:p w14:paraId="DB000000">
      <w:pPr>
        <w:widowControl w:val="0"/>
        <w:spacing w:line="240" w:lineRule="exact"/>
        <w:ind/>
        <w:jc w:val="both"/>
        <w:rPr>
          <w:sz w:val="18"/>
        </w:rPr>
      </w:pPr>
    </w:p>
    <w:p w14:paraId="DC000000">
      <w:pPr>
        <w:widowControl w:val="0"/>
        <w:spacing w:line="240" w:lineRule="exact"/>
        <w:ind/>
        <w:jc w:val="both"/>
        <w:rPr>
          <w:sz w:val="18"/>
        </w:rPr>
      </w:pPr>
    </w:p>
    <w:p w14:paraId="DD000000">
      <w:pPr>
        <w:widowControl w:val="0"/>
        <w:spacing w:line="240" w:lineRule="exact"/>
        <w:ind/>
        <w:jc w:val="both"/>
        <w:rPr>
          <w:sz w:val="18"/>
        </w:rPr>
      </w:pPr>
    </w:p>
    <w:p w14:paraId="DE000000">
      <w:pPr>
        <w:widowControl w:val="0"/>
        <w:spacing w:line="240" w:lineRule="exact"/>
        <w:ind/>
        <w:jc w:val="both"/>
        <w:rPr>
          <w:sz w:val="18"/>
        </w:rPr>
      </w:pPr>
    </w:p>
    <w:p w14:paraId="DF000000">
      <w:pPr>
        <w:widowControl w:val="0"/>
        <w:spacing w:line="240" w:lineRule="exact"/>
        <w:ind/>
        <w:jc w:val="both"/>
        <w:rPr>
          <w:sz w:val="18"/>
        </w:rPr>
      </w:pPr>
    </w:p>
    <w:p w14:paraId="E0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</w:t>
      </w:r>
      <w:r>
        <w:rPr>
          <w:sz w:val="18"/>
        </w:rPr>
        <w:t>, 74-93-53</w:t>
      </w:r>
    </w:p>
    <w:p w14:paraId="E1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</w:t>
      </w:r>
      <w:r>
        <w:rPr>
          <w:sz w:val="18"/>
        </w:rPr>
        <w:t>, 74-94-91</w:t>
      </w:r>
    </w:p>
    <w:p w14:paraId="E2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</w:t>
      </w:r>
      <w:r>
        <w:rPr>
          <w:sz w:val="18"/>
        </w:rPr>
        <w:t>М</w:t>
      </w:r>
      <w:r>
        <w:rPr>
          <w:sz w:val="18"/>
        </w:rPr>
        <w:t xml:space="preserve">. </w:t>
      </w:r>
      <w:r>
        <w:rPr>
          <w:sz w:val="18"/>
        </w:rPr>
        <w:t>Никитина</w:t>
      </w:r>
      <w:r>
        <w:rPr>
          <w:sz w:val="18"/>
        </w:rPr>
        <w:t>, 74-94-92</w:t>
      </w:r>
    </w:p>
    <w:p w14:paraId="E3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18"/>
        </w:rPr>
        <w:t>З.А. Андрейченко, 74-93-57</w:t>
      </w: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984" w:right="567" w:top="141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5" w:type="paragraph">
    <w:name w:val="toc 2"/>
    <w:basedOn w:val="Style_2"/>
    <w:next w:val="Style_2"/>
    <w:link w:val="Style_5_ch"/>
    <w:uiPriority w:val="39"/>
    <w:pPr>
      <w:spacing w:after="57"/>
      <w:ind w:firstLine="0" w:left="283"/>
    </w:pPr>
  </w:style>
  <w:style w:styleId="Style_5_ch" w:type="character">
    <w:name w:val="toc 2"/>
    <w:basedOn w:val="Style_2_ch"/>
    <w:link w:val="Style_5"/>
  </w:style>
  <w:style w:styleId="Style_6" w:type="paragraph">
    <w:name w:val="Heading 1 Char"/>
    <w:basedOn w:val="Style_7"/>
    <w:link w:val="Style_6_ch"/>
    <w:rPr>
      <w:rFonts w:ascii="Arial" w:hAnsi="Arial"/>
      <w:sz w:val="40"/>
    </w:rPr>
  </w:style>
  <w:style w:styleId="Style_6_ch" w:type="character">
    <w:name w:val="Heading 1 Char"/>
    <w:basedOn w:val="Style_7_ch"/>
    <w:link w:val="Style_6"/>
    <w:rPr>
      <w:rFonts w:ascii="Arial" w:hAnsi="Arial"/>
      <w:sz w:val="40"/>
    </w:rPr>
  </w:style>
  <w:style w:styleId="Style_8" w:type="paragraph">
    <w:name w:val="toc 4"/>
    <w:basedOn w:val="Style_2"/>
    <w:next w:val="Style_2"/>
    <w:link w:val="Style_8_ch"/>
    <w:uiPriority w:val="39"/>
    <w:pPr>
      <w:spacing w:after="57"/>
      <w:ind w:firstLine="0" w:left="850"/>
    </w:pPr>
  </w:style>
  <w:style w:styleId="Style_8_ch" w:type="character">
    <w:name w:val="toc 4"/>
    <w:basedOn w:val="Style_2_ch"/>
    <w:link w:val="Style_8"/>
  </w:style>
  <w:style w:styleId="Style_9" w:type="paragraph">
    <w:name w:val="heading 7"/>
    <w:basedOn w:val="Style_2"/>
    <w:next w:val="Style_2"/>
    <w:link w:val="Style_9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2_ch"/>
    <w:link w:val="Style_9"/>
    <w:rPr>
      <w:rFonts w:ascii="Arial" w:hAnsi="Arial"/>
      <w:b w:val="1"/>
      <w:i w:val="1"/>
      <w:sz w:val="22"/>
    </w:rPr>
  </w:style>
  <w:style w:styleId="Style_10" w:type="paragraph">
    <w:name w:val="table of figures"/>
    <w:basedOn w:val="Style_2"/>
    <w:next w:val="Style_2"/>
    <w:link w:val="Style_10_ch"/>
  </w:style>
  <w:style w:styleId="Style_10_ch" w:type="character">
    <w:name w:val="table of figures"/>
    <w:basedOn w:val="Style_2_ch"/>
    <w:link w:val="Style_10"/>
  </w:style>
  <w:style w:styleId="Style_11" w:type="paragraph">
    <w:name w:val="Intense Quote Char"/>
    <w:link w:val="Style_11_ch"/>
    <w:rPr>
      <w:i w:val="1"/>
    </w:rPr>
  </w:style>
  <w:style w:styleId="Style_11_ch" w:type="character">
    <w:name w:val="Intense Quote Char"/>
    <w:link w:val="Style_11"/>
    <w:rPr>
      <w:i w:val="1"/>
    </w:rPr>
  </w:style>
  <w:style w:styleId="Style_12" w:type="paragraph">
    <w:name w:val="toc 6"/>
    <w:basedOn w:val="Style_2"/>
    <w:next w:val="Style_2"/>
    <w:link w:val="Style_12_ch"/>
    <w:uiPriority w:val="39"/>
    <w:pPr>
      <w:spacing w:after="57"/>
      <w:ind w:firstLine="0" w:left="1417"/>
    </w:pPr>
  </w:style>
  <w:style w:styleId="Style_12_ch" w:type="character">
    <w:name w:val="toc 6"/>
    <w:basedOn w:val="Style_2_ch"/>
    <w:link w:val="Style_12"/>
  </w:style>
  <w:style w:styleId="Style_13" w:type="paragraph">
    <w:name w:val="toc 7"/>
    <w:basedOn w:val="Style_2"/>
    <w:next w:val="Style_2"/>
    <w:link w:val="Style_13_ch"/>
    <w:uiPriority w:val="39"/>
    <w:pPr>
      <w:spacing w:after="57"/>
      <w:ind w:firstLine="0" w:left="1701"/>
    </w:pPr>
  </w:style>
  <w:style w:styleId="Style_13_ch" w:type="character">
    <w:name w:val="toc 7"/>
    <w:basedOn w:val="Style_2_ch"/>
    <w:link w:val="Style_13"/>
  </w:style>
  <w:style w:styleId="Style_14" w:type="paragraph">
    <w:name w:val="Balloon Text"/>
    <w:basedOn w:val="Style_2"/>
    <w:link w:val="Style_14_ch"/>
    <w:rPr>
      <w:rFonts w:ascii="Segoe UI" w:hAnsi="Segoe UI"/>
      <w:sz w:val="18"/>
    </w:rPr>
  </w:style>
  <w:style w:styleId="Style_14_ch" w:type="character">
    <w:name w:val="Balloon Text"/>
    <w:basedOn w:val="Style_2_ch"/>
    <w:link w:val="Style_14"/>
    <w:rPr>
      <w:rFonts w:ascii="Segoe UI" w:hAnsi="Segoe UI"/>
      <w:sz w:val="18"/>
    </w:rPr>
  </w:style>
  <w:style w:styleId="Style_15" w:type="paragraph">
    <w:name w:val="Endnote"/>
    <w:basedOn w:val="Style_2"/>
    <w:link w:val="Style_15_ch"/>
    <w:rPr>
      <w:sz w:val="20"/>
    </w:rPr>
  </w:style>
  <w:style w:styleId="Style_15_ch" w:type="character">
    <w:name w:val="Endnote"/>
    <w:basedOn w:val="Style_2_ch"/>
    <w:link w:val="Style_15"/>
    <w:rPr>
      <w:sz w:val="20"/>
    </w:rPr>
  </w:style>
  <w:style w:styleId="Style_16" w:type="paragraph">
    <w:name w:val="heading 3"/>
    <w:basedOn w:val="Style_2"/>
    <w:next w:val="Style_2"/>
    <w:link w:val="Style_16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6_ch" w:type="character">
    <w:name w:val="heading 3"/>
    <w:basedOn w:val="Style_2_ch"/>
    <w:link w:val="Style_16"/>
    <w:rPr>
      <w:rFonts w:ascii="Arial" w:hAnsi="Arial"/>
      <w:sz w:val="30"/>
    </w:rPr>
  </w:style>
  <w:style w:styleId="Style_17" w:type="paragraph">
    <w:name w:val="Subtitle Char"/>
    <w:basedOn w:val="Style_7"/>
    <w:link w:val="Style_17_ch"/>
    <w:rPr>
      <w:sz w:val="24"/>
    </w:rPr>
  </w:style>
  <w:style w:styleId="Style_17_ch" w:type="character">
    <w:name w:val="Subtitle Char"/>
    <w:basedOn w:val="Style_7_ch"/>
    <w:link w:val="Style_17"/>
    <w:rPr>
      <w:sz w:val="24"/>
    </w:rPr>
  </w:style>
  <w:style w:styleId="Style_18" w:type="paragraph">
    <w:name w:val="Footnote Text Char"/>
    <w:link w:val="Style_18_ch"/>
    <w:rPr>
      <w:sz w:val="18"/>
    </w:rPr>
  </w:style>
  <w:style w:styleId="Style_18_ch" w:type="character">
    <w:name w:val="Footnote Text Char"/>
    <w:link w:val="Style_18"/>
    <w:rPr>
      <w:sz w:val="18"/>
    </w:rPr>
  </w:style>
  <w:style w:styleId="Style_19" w:type="paragraph">
    <w:name w:val="heading 9"/>
    <w:basedOn w:val="Style_2"/>
    <w:next w:val="Style_2"/>
    <w:link w:val="Style_1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9_ch" w:type="character">
    <w:name w:val="heading 9"/>
    <w:basedOn w:val="Style_2_ch"/>
    <w:link w:val="Style_19"/>
    <w:rPr>
      <w:rFonts w:ascii="Arial" w:hAnsi="Arial"/>
      <w:i w:val="1"/>
      <w:sz w:val="21"/>
    </w:rPr>
  </w:style>
  <w:style w:styleId="Style_20" w:type="paragraph">
    <w:name w:val="annotation reference"/>
    <w:basedOn w:val="Style_7"/>
    <w:link w:val="Style_20_ch"/>
    <w:rPr>
      <w:sz w:val="16"/>
    </w:rPr>
  </w:style>
  <w:style w:styleId="Style_20_ch" w:type="character">
    <w:name w:val="annotation reference"/>
    <w:basedOn w:val="Style_7_ch"/>
    <w:link w:val="Style_20"/>
    <w:rPr>
      <w:sz w:val="16"/>
    </w:rPr>
  </w:style>
  <w:style w:styleId="Style_21" w:type="paragraph">
    <w:name w:val="Endnote Text Char"/>
    <w:link w:val="Style_21_ch"/>
    <w:rPr>
      <w:sz w:val="20"/>
    </w:rPr>
  </w:style>
  <w:style w:styleId="Style_21_ch" w:type="character">
    <w:name w:val="Endnote Text Char"/>
    <w:link w:val="Style_21"/>
    <w:rPr>
      <w:sz w:val="20"/>
    </w:rPr>
  </w:style>
  <w:style w:styleId="Style_22" w:type="paragraph">
    <w:name w:val="toc 3"/>
    <w:basedOn w:val="Style_2"/>
    <w:next w:val="Style_2"/>
    <w:link w:val="Style_22_ch"/>
    <w:uiPriority w:val="39"/>
    <w:pPr>
      <w:spacing w:after="57"/>
      <w:ind w:firstLine="0" w:left="567"/>
    </w:pPr>
  </w:style>
  <w:style w:styleId="Style_22_ch" w:type="character">
    <w:name w:val="toc 3"/>
    <w:basedOn w:val="Style_2_ch"/>
    <w:link w:val="Style_22"/>
  </w:style>
  <w:style w:styleId="Style_23" w:type="paragraph">
    <w:name w:val="annotation text"/>
    <w:basedOn w:val="Style_2"/>
    <w:link w:val="Style_23_ch"/>
    <w:rPr>
      <w:sz w:val="20"/>
    </w:rPr>
  </w:style>
  <w:style w:styleId="Style_23_ch" w:type="character">
    <w:name w:val="annotation text"/>
    <w:basedOn w:val="Style_2_ch"/>
    <w:link w:val="Style_23"/>
    <w:rPr>
      <w:sz w:val="20"/>
    </w:rPr>
  </w:style>
  <w:style w:styleId="Style_24" w:type="paragraph">
    <w:name w:val="footnote reference"/>
    <w:basedOn w:val="Style_7"/>
    <w:link w:val="Style_24_ch"/>
    <w:rPr>
      <w:vertAlign w:val="superscript"/>
    </w:rPr>
  </w:style>
  <w:style w:styleId="Style_24_ch" w:type="character">
    <w:name w:val="footnote reference"/>
    <w:basedOn w:val="Style_7_ch"/>
    <w:link w:val="Style_24"/>
    <w:rPr>
      <w:vertAlign w:val="superscript"/>
    </w:rPr>
  </w:style>
  <w:style w:styleId="Style_25" w:type="paragraph">
    <w:name w:val="Caption"/>
    <w:basedOn w:val="Style_2"/>
    <w:next w:val="Style_2"/>
    <w:link w:val="Style_25_ch"/>
    <w:pPr>
      <w:spacing w:line="276" w:lineRule="auto"/>
      <w:ind/>
    </w:pPr>
    <w:rPr>
      <w:b w:val="1"/>
      <w:color w:themeColor="accent1" w:val="5B9BD5"/>
      <w:sz w:val="18"/>
    </w:rPr>
  </w:style>
  <w:style w:styleId="Style_25_ch" w:type="character">
    <w:name w:val="Caption"/>
    <w:basedOn w:val="Style_2_ch"/>
    <w:link w:val="Style_25"/>
    <w:rPr>
      <w:b w:val="1"/>
      <w:color w:themeColor="accent1" w:val="5B9BD5"/>
      <w:sz w:val="18"/>
    </w:rPr>
  </w:style>
  <w:style w:styleId="Style_26" w:type="paragraph">
    <w:name w:val="Header"/>
    <w:basedOn w:val="Style_2"/>
    <w:link w:val="Style_26_ch"/>
    <w:pPr>
      <w:tabs>
        <w:tab w:leader="none" w:pos="7143" w:val="center"/>
        <w:tab w:leader="none" w:pos="14287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heading 5"/>
    <w:basedOn w:val="Style_2"/>
    <w:next w:val="Style_2"/>
    <w:link w:val="Style_27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7_ch" w:type="character">
    <w:name w:val="heading 5"/>
    <w:basedOn w:val="Style_2_ch"/>
    <w:link w:val="Style_27"/>
    <w:rPr>
      <w:rFonts w:ascii="Arial" w:hAnsi="Arial"/>
      <w:b w:val="1"/>
      <w:sz w:val="24"/>
    </w:rPr>
  </w:style>
  <w:style w:styleId="Style_28" w:type="paragraph">
    <w:name w:val="Normal (Web)"/>
    <w:basedOn w:val="Style_2"/>
    <w:link w:val="Style_28_ch"/>
    <w:pPr>
      <w:spacing w:afterAutospacing="on" w:beforeAutospacing="on"/>
      <w:ind/>
    </w:pPr>
    <w:rPr>
      <w:sz w:val="24"/>
    </w:rPr>
  </w:style>
  <w:style w:styleId="Style_28_ch" w:type="character">
    <w:name w:val="Normal (Web)"/>
    <w:basedOn w:val="Style_2_ch"/>
    <w:link w:val="Style_28"/>
    <w:rPr>
      <w:sz w:val="24"/>
    </w:rPr>
  </w:style>
  <w:style w:styleId="Style_29" w:type="paragraph">
    <w:name w:val="heading 1"/>
    <w:basedOn w:val="Style_2"/>
    <w:next w:val="Style_2"/>
    <w:link w:val="Style_29_ch"/>
    <w:uiPriority w:val="9"/>
    <w:qFormat/>
    <w:pPr>
      <w:keepNext w:val="1"/>
      <w:ind/>
      <w:outlineLvl w:val="0"/>
    </w:pPr>
    <w:rPr>
      <w:b w:val="1"/>
    </w:rPr>
  </w:style>
  <w:style w:styleId="Style_29_ch" w:type="character">
    <w:name w:val="heading 1"/>
    <w:basedOn w:val="Style_2_ch"/>
    <w:link w:val="Style_29"/>
    <w:rPr>
      <w:b w:val="1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basedOn w:val="Style_2"/>
    <w:link w:val="Style_31_ch"/>
    <w:pPr>
      <w:spacing w:after="40"/>
      <w:ind/>
    </w:pPr>
    <w:rPr>
      <w:sz w:val="18"/>
    </w:rPr>
  </w:style>
  <w:style w:styleId="Style_31_ch" w:type="character">
    <w:name w:val="Footnote"/>
    <w:basedOn w:val="Style_2_ch"/>
    <w:link w:val="Style_31"/>
    <w:rPr>
      <w:sz w:val="18"/>
    </w:rPr>
  </w:style>
  <w:style w:styleId="Style_32" w:type="paragraph">
    <w:name w:val="heading 8"/>
    <w:basedOn w:val="Style_2"/>
    <w:next w:val="Style_2"/>
    <w:link w:val="Style_32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2_ch" w:type="character">
    <w:name w:val="heading 8"/>
    <w:basedOn w:val="Style_2_ch"/>
    <w:link w:val="Style_32"/>
    <w:rPr>
      <w:rFonts w:ascii="Arial" w:hAnsi="Arial"/>
      <w:i w:val="1"/>
      <w:sz w:val="22"/>
    </w:rPr>
  </w:style>
  <w:style w:styleId="Style_33" w:type="paragraph">
    <w:name w:val="annotation subject"/>
    <w:basedOn w:val="Style_23"/>
    <w:next w:val="Style_23"/>
    <w:link w:val="Style_33_ch"/>
    <w:rPr>
      <w:b w:val="1"/>
    </w:rPr>
  </w:style>
  <w:style w:styleId="Style_33_ch" w:type="character">
    <w:name w:val="annotation subject"/>
    <w:basedOn w:val="Style_23_ch"/>
    <w:link w:val="Style_33"/>
    <w:rPr>
      <w:b w:val="1"/>
    </w:rPr>
  </w:style>
  <w:style w:styleId="Style_34" w:type="paragraph">
    <w:name w:val="Quote"/>
    <w:basedOn w:val="Style_2"/>
    <w:next w:val="Style_2"/>
    <w:link w:val="Style_34_ch"/>
    <w:pPr>
      <w:ind w:firstLine="0" w:left="720" w:right="720"/>
    </w:pPr>
    <w:rPr>
      <w:i w:val="1"/>
    </w:rPr>
  </w:style>
  <w:style w:styleId="Style_34_ch" w:type="character">
    <w:name w:val="Quote"/>
    <w:basedOn w:val="Style_2_ch"/>
    <w:link w:val="Style_34"/>
    <w:rPr>
      <w:i w:val="1"/>
    </w:rPr>
  </w:style>
  <w:style w:styleId="Style_35" w:type="paragraph">
    <w:name w:val="toc 1"/>
    <w:basedOn w:val="Style_2"/>
    <w:next w:val="Style_2"/>
    <w:link w:val="Style_35_ch"/>
    <w:uiPriority w:val="39"/>
    <w:pPr>
      <w:spacing w:after="57"/>
      <w:ind/>
    </w:pPr>
  </w:style>
  <w:style w:styleId="Style_35_ch" w:type="character">
    <w:name w:val="toc 1"/>
    <w:basedOn w:val="Style_2_ch"/>
    <w:link w:val="Style_35"/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36" w:type="paragraph">
    <w:name w:val="Intense Quote"/>
    <w:basedOn w:val="Style_2"/>
    <w:next w:val="Style_2"/>
    <w:link w:val="Style_36_ch"/>
    <w:pPr>
      <w:ind w:firstLine="0" w:left="720" w:right="720"/>
    </w:pPr>
    <w:rPr>
      <w:i w:val="1"/>
    </w:rPr>
  </w:style>
  <w:style w:styleId="Style_36_ch" w:type="character">
    <w:name w:val="Intense Quote"/>
    <w:basedOn w:val="Style_2_ch"/>
    <w:link w:val="Style_36"/>
    <w:rPr>
      <w:i w:val="1"/>
    </w:rPr>
  </w:style>
  <w:style w:styleId="Style_37" w:type="paragraph">
    <w:name w:val="Body Text"/>
    <w:basedOn w:val="Style_2"/>
    <w:link w:val="Style_37_ch"/>
    <w:pPr>
      <w:ind/>
      <w:jc w:val="center"/>
    </w:pPr>
    <w:rPr>
      <w:b w:val="1"/>
      <w:caps w:val="1"/>
    </w:rPr>
  </w:style>
  <w:style w:styleId="Style_37_ch" w:type="character">
    <w:name w:val="Body Text"/>
    <w:basedOn w:val="Style_2_ch"/>
    <w:link w:val="Style_37"/>
    <w:rPr>
      <w:b w:val="1"/>
      <w:caps w:val="1"/>
    </w:rPr>
  </w:style>
  <w:style w:styleId="Style_38" w:type="paragraph">
    <w:name w:val="Footer Char"/>
    <w:basedOn w:val="Style_7"/>
    <w:link w:val="Style_38_ch"/>
  </w:style>
  <w:style w:styleId="Style_38_ch" w:type="character">
    <w:name w:val="Footer Char"/>
    <w:basedOn w:val="Style_7_ch"/>
    <w:link w:val="Style_38"/>
  </w:style>
  <w:style w:styleId="Style_39" w:type="paragraph">
    <w:name w:val="toc 9"/>
    <w:basedOn w:val="Style_2"/>
    <w:next w:val="Style_2"/>
    <w:link w:val="Style_39_ch"/>
    <w:uiPriority w:val="39"/>
    <w:pPr>
      <w:spacing w:after="57"/>
      <w:ind w:firstLine="0" w:left="2268"/>
    </w:pPr>
  </w:style>
  <w:style w:styleId="Style_39_ch" w:type="character">
    <w:name w:val="toc 9"/>
    <w:basedOn w:val="Style_2_ch"/>
    <w:link w:val="Style_39"/>
  </w:style>
  <w:style w:styleId="Style_40" w:type="paragraph">
    <w:name w:val="toc 8"/>
    <w:basedOn w:val="Style_2"/>
    <w:next w:val="Style_2"/>
    <w:link w:val="Style_40_ch"/>
    <w:uiPriority w:val="39"/>
    <w:pPr>
      <w:spacing w:after="57"/>
      <w:ind w:firstLine="0" w:left="1984"/>
    </w:pPr>
  </w:style>
  <w:style w:styleId="Style_40_ch" w:type="character">
    <w:name w:val="toc 8"/>
    <w:basedOn w:val="Style_2_ch"/>
    <w:link w:val="Style_40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41" w:type="paragraph">
    <w:name w:val="Title Char"/>
    <w:basedOn w:val="Style_7"/>
    <w:link w:val="Style_41_ch"/>
    <w:rPr>
      <w:sz w:val="48"/>
    </w:rPr>
  </w:style>
  <w:style w:styleId="Style_41_ch" w:type="character">
    <w:name w:val="Title Char"/>
    <w:basedOn w:val="Style_7_ch"/>
    <w:link w:val="Style_41"/>
    <w:rPr>
      <w:sz w:val="48"/>
    </w:rPr>
  </w:style>
  <w:style w:styleId="Style_42" w:type="paragraph">
    <w:name w:val="TOC Heading"/>
    <w:link w:val="Style_42_ch"/>
  </w:style>
  <w:style w:styleId="Style_42_ch" w:type="character">
    <w:name w:val="TOC Heading"/>
    <w:link w:val="Style_42"/>
  </w:style>
  <w:style w:styleId="Style_43" w:type="paragraph">
    <w:name w:val="toc 5"/>
    <w:basedOn w:val="Style_2"/>
    <w:next w:val="Style_2"/>
    <w:link w:val="Style_43_ch"/>
    <w:uiPriority w:val="39"/>
    <w:pPr>
      <w:spacing w:after="57"/>
      <w:ind w:firstLine="0" w:left="1134"/>
    </w:pPr>
  </w:style>
  <w:style w:styleId="Style_43_ch" w:type="character">
    <w:name w:val="toc 5"/>
    <w:basedOn w:val="Style_2_ch"/>
    <w:link w:val="Style_43"/>
  </w:style>
  <w:style w:styleId="Style_44" w:type="paragraph">
    <w:name w:val="Subtitle"/>
    <w:basedOn w:val="Style_2"/>
    <w:next w:val="Style_2"/>
    <w:link w:val="Style_44_ch"/>
    <w:uiPriority w:val="11"/>
    <w:qFormat/>
    <w:pPr>
      <w:spacing w:after="200" w:before="200"/>
      <w:ind/>
    </w:pPr>
    <w:rPr>
      <w:sz w:val="24"/>
    </w:rPr>
  </w:style>
  <w:style w:styleId="Style_44_ch" w:type="character">
    <w:name w:val="Subtitle"/>
    <w:basedOn w:val="Style_2_ch"/>
    <w:link w:val="Style_44"/>
    <w:rPr>
      <w:sz w:val="24"/>
    </w:rPr>
  </w:style>
  <w:style w:styleId="Style_4" w:type="paragraph">
    <w:name w:val="No Spacing"/>
    <w:link w:val="Style_4_ch"/>
    <w:pPr>
      <w:spacing w:after="0" w:line="240" w:lineRule="auto"/>
      <w:ind/>
    </w:pPr>
    <w:rPr>
      <w:rFonts w:ascii="Calibri" w:hAnsi="Calibri"/>
      <w:color w:val="000000"/>
    </w:rPr>
  </w:style>
  <w:style w:styleId="Style_4_ch" w:type="character">
    <w:name w:val="No Spacing"/>
    <w:link w:val="Style_4"/>
    <w:rPr>
      <w:rFonts w:ascii="Calibri" w:hAnsi="Calibri"/>
      <w:color w:val="000000"/>
    </w:rPr>
  </w:style>
  <w:style w:styleId="Style_45" w:type="paragraph">
    <w:name w:val="Title"/>
    <w:basedOn w:val="Style_2"/>
    <w:next w:val="Style_2"/>
    <w:link w:val="Style_45_ch"/>
    <w:uiPriority w:val="10"/>
    <w:qFormat/>
    <w:pPr>
      <w:spacing w:after="200" w:before="300"/>
      <w:ind/>
      <w:contextualSpacing w:val="1"/>
    </w:pPr>
    <w:rPr>
      <w:sz w:val="48"/>
    </w:rPr>
  </w:style>
  <w:style w:styleId="Style_45_ch" w:type="character">
    <w:name w:val="Title"/>
    <w:basedOn w:val="Style_2_ch"/>
    <w:link w:val="Style_45"/>
    <w:rPr>
      <w:sz w:val="48"/>
    </w:rPr>
  </w:style>
  <w:style w:styleId="Style_46" w:type="paragraph">
    <w:name w:val="heading 4"/>
    <w:basedOn w:val="Style_2"/>
    <w:next w:val="Style_2"/>
    <w:link w:val="Style_46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6_ch" w:type="character">
    <w:name w:val="heading 4"/>
    <w:basedOn w:val="Style_2_ch"/>
    <w:link w:val="Style_46"/>
    <w:rPr>
      <w:rFonts w:ascii="Arial" w:hAnsi="Arial"/>
      <w:b w:val="1"/>
      <w:sz w:val="26"/>
    </w:rPr>
  </w:style>
  <w:style w:styleId="Style_47" w:type="paragraph">
    <w:name w:val="List Paragraph"/>
    <w:basedOn w:val="Style_2"/>
    <w:link w:val="Style_47_ch"/>
    <w:pPr>
      <w:ind w:firstLine="0" w:left="720"/>
      <w:contextualSpacing w:val="1"/>
    </w:pPr>
  </w:style>
  <w:style w:styleId="Style_47_ch" w:type="character">
    <w:name w:val="List Paragraph"/>
    <w:basedOn w:val="Style_2_ch"/>
    <w:link w:val="Style_47"/>
  </w:style>
  <w:style w:styleId="Style_48" w:type="paragraph">
    <w:name w:val="heading 2"/>
    <w:basedOn w:val="Style_2"/>
    <w:next w:val="Style_2"/>
    <w:link w:val="Style_48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8_ch" w:type="character">
    <w:name w:val="heading 2"/>
    <w:basedOn w:val="Style_2_ch"/>
    <w:link w:val="Style_48"/>
    <w:rPr>
      <w:rFonts w:ascii="Arial" w:hAnsi="Arial"/>
      <w:sz w:val="34"/>
    </w:rPr>
  </w:style>
  <w:style w:styleId="Style_49" w:type="paragraph">
    <w:name w:val="Quote Char"/>
    <w:link w:val="Style_49_ch"/>
    <w:rPr>
      <w:i w:val="1"/>
    </w:rPr>
  </w:style>
  <w:style w:styleId="Style_49_ch" w:type="character">
    <w:name w:val="Quote Char"/>
    <w:link w:val="Style_49"/>
    <w:rPr>
      <w:i w:val="1"/>
    </w:rPr>
  </w:style>
  <w:style w:styleId="Style_50" w:type="paragraph">
    <w:name w:val="Footer"/>
    <w:basedOn w:val="Style_2"/>
    <w:link w:val="Style_50_ch"/>
    <w:pPr>
      <w:tabs>
        <w:tab w:leader="none" w:pos="7143" w:val="center"/>
        <w:tab w:leader="none" w:pos="14287" w:val="right"/>
      </w:tabs>
      <w:ind/>
    </w:pPr>
  </w:style>
  <w:style w:styleId="Style_50_ch" w:type="character">
    <w:name w:val="Footer"/>
    <w:basedOn w:val="Style_2_ch"/>
    <w:link w:val="Style_50"/>
  </w:style>
  <w:style w:styleId="Style_51" w:type="paragraph">
    <w:name w:val="heading 6"/>
    <w:basedOn w:val="Style_2"/>
    <w:next w:val="Style_2"/>
    <w:link w:val="Style_5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51_ch" w:type="character">
    <w:name w:val="heading 6"/>
    <w:basedOn w:val="Style_2_ch"/>
    <w:link w:val="Style_51"/>
    <w:rPr>
      <w:rFonts w:ascii="Arial" w:hAnsi="Arial"/>
      <w:b w:val="1"/>
      <w:sz w:val="22"/>
    </w:rPr>
  </w:style>
  <w:style w:styleId="Style_52" w:type="paragraph">
    <w:name w:val="endnote reference"/>
    <w:basedOn w:val="Style_7"/>
    <w:link w:val="Style_52_ch"/>
    <w:rPr>
      <w:vertAlign w:val="superscript"/>
    </w:rPr>
  </w:style>
  <w:style w:styleId="Style_52_ch" w:type="character">
    <w:name w:val="endnote reference"/>
    <w:basedOn w:val="Style_7_ch"/>
    <w:link w:val="Style_52"/>
    <w:rPr>
      <w:vertAlign w:val="superscript"/>
    </w:rPr>
  </w:style>
  <w:style w:styleId="Style_53" w:type="table">
    <w:name w:val="Grid Table 5 Dark - Accent 6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4" w:type="table">
    <w:name w:val="Grid Table 2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5" w:type="table">
    <w:name w:val="List Table 2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6" w:type="table">
    <w:name w:val="List Table 5 Dark - Accent 5"/>
    <w:basedOn w:val="Style_3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7" w:type="table">
    <w:name w:val="Grid Table 1 Light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8" w:type="table">
    <w:name w:val="Plain Table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9" w:type="table">
    <w:name w:val="Grid Table 3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0" w:type="table">
    <w:name w:val="Grid Table 3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List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Grid Table 1 Light"/>
    <w:basedOn w:val="Style_3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List Table 2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Table Grid Light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5 Dark - Accent 3"/>
    <w:basedOn w:val="Style_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Bordered &amp; 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3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2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3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4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3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7 Colorful - Accent 6"/>
    <w:basedOn w:val="Style_3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7 Colorful - Accent 4"/>
    <w:basedOn w:val="Style_3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3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3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Bordered"/>
    <w:basedOn w:val="Style_3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7 Colorful"/>
    <w:basedOn w:val="Style_3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1 Light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5 Dark- Accent 1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1 Light - Accent 6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Bordered &amp; 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Grid Table 5 Dark - Accent 5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Plain Table 2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2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2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Bordered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7 Colorful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Plain Table 1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Bordered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2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2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2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3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5 Dark - Accent 6"/>
    <w:basedOn w:val="Style_3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2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3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Bordered &amp; 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3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7 Colorful - Accent 3"/>
    <w:basedOn w:val="Style_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1 Light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7 Colorful - Accent 6"/>
    <w:basedOn w:val="Style_3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1 Light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1 Light - Accent 2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7 Colorful - Accent 1"/>
    <w:basedOn w:val="Style_3"/>
    <w:pPr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3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5 Dark - Accent 2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5 Dark- Accent 4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5 Dark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7 Colorful - Accent 5"/>
    <w:basedOn w:val="Style_3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Grid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5 Dark"/>
    <w:basedOn w:val="Style_3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Bordered &amp; 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7 Colorful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3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1 Light - Accent 1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Bordered &amp; 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5 Dark - Accent 4"/>
    <w:basedOn w:val="Style_3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1 Light - Accent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7 Colorful"/>
    <w:basedOn w:val="Style_3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Bordered &amp; 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7 Colorful - Accent 2"/>
    <w:basedOn w:val="Style_3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1 Light - Accent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7 Colorful - Accent 5"/>
    <w:basedOn w:val="Style_3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1 Light - Accent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Plain Table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Bordered &amp; 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7 Colorful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1 Light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3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st Table 3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5 Dark - Accent 3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2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4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2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5 Dark - Accent 1"/>
    <w:basedOn w:val="Style_3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Bordered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Bordered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1 Light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2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1 Light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Bordered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2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7 Colorful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5 Dark - Accent 2"/>
    <w:basedOn w:val="Style_3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Plain Table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emf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2024-09-18T09:02:48Z</dcterms:modified>
</cp:coreProperties>
</file>