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-215265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 xml:space="preserve">Номер документа, не заполнять! </w:t>
            </w:r>
            <w:r>
              <w:rPr>
                <w:color w:val="FFFFFF"/>
              </w:rPr>
              <w:t>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3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4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5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первый квартал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года</w:t>
      </w:r>
    </w:p>
    <w:p w14:paraId="18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9000000">
      <w:pPr>
        <w:ind/>
        <w:jc w:val="center"/>
      </w:pPr>
    </w:p>
    <w:p w14:paraId="1A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B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</w:p>
    <w:p w14:paraId="1C000000">
      <w:pPr>
        <w:pStyle w:val="Style_3"/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первый квартал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3 171 007 тыс.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по расходам в сумме </w:t>
      </w:r>
      <w:r>
        <w:rPr>
          <w:rFonts w:ascii="Times New Roman" w:hAnsi="Times New Roman"/>
          <w:color w:val="000000"/>
          <w:spacing w:val="0"/>
          <w:sz w:val="28"/>
        </w:rPr>
        <w:t>3 427</w:t>
      </w:r>
      <w:r>
        <w:rPr>
          <w:rFonts w:ascii="Times New Roman" w:hAnsi="Times New Roman"/>
          <w:sz w:val="28"/>
        </w:rPr>
        <w:t> 414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256</w:t>
      </w:r>
      <w:r>
        <w:rPr>
          <w:rFonts w:ascii="Times New Roman" w:hAnsi="Times New Roman"/>
          <w:sz w:val="28"/>
        </w:rPr>
        <w:t> 407</w:t>
      </w:r>
      <w:r>
        <w:rPr>
          <w:rFonts w:ascii="Times New Roman" w:hAnsi="Times New Roman"/>
          <w:sz w:val="28"/>
        </w:rPr>
        <w:t> тыс. рублей.</w:t>
      </w:r>
    </w:p>
    <w:p w14:paraId="1D000000">
      <w:pPr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у</w:t>
      </w:r>
      <w:r>
        <w:t>меньшился</w:t>
      </w:r>
      <w:r>
        <w:t xml:space="preserve"> на </w:t>
      </w:r>
      <w:r>
        <w:t>229 053</w:t>
      </w:r>
      <w:r>
        <w:t xml:space="preserve"> тыс. рублей, </w:t>
      </w:r>
      <w:r>
        <w:t xml:space="preserve">или на </w:t>
      </w:r>
      <w:r>
        <w:t>6,7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br/>
      </w:r>
      <w:r>
        <w:t>304 213</w:t>
      </w:r>
      <w:r>
        <w:t xml:space="preserve"> тыс. рублей, или </w:t>
      </w:r>
      <w:r>
        <w:t>на 31,6 процента</w:t>
      </w:r>
      <w:r>
        <w:t>.</w:t>
      </w:r>
    </w:p>
    <w:p w14:paraId="1E000000">
      <w:pPr>
        <w:ind w:firstLine="709" w:left="0"/>
        <w:jc w:val="both"/>
      </w:pPr>
      <w:r>
        <w:t>Объем произведенных расходов уменьшился по сравнению с аналогичным периодом 2023</w:t>
      </w:r>
      <w:r>
        <w:t> года на 509</w:t>
      </w:r>
      <w:r>
        <w:t> 043</w:t>
      </w:r>
      <w:r>
        <w:rPr>
          <w:sz w:val="22"/>
        </w:rPr>
        <w:t xml:space="preserve"> </w:t>
      </w:r>
      <w:r>
        <w:t>тыс. рублей, или на 14,9</w:t>
      </w:r>
      <w:r>
        <w:t> процента.</w:t>
      </w:r>
    </w:p>
    <w:p w14:paraId="1F000000">
      <w:pPr>
        <w:ind w:firstLine="709" w:left="0"/>
        <w:jc w:val="both"/>
      </w:pPr>
    </w:p>
    <w:p w14:paraId="20000000">
      <w:pPr>
        <w:widowControl w:val="0"/>
        <w:ind w:firstLine="2694" w:left="0"/>
        <w:jc w:val="both"/>
      </w:pPr>
      <w:r>
        <w:t>Доходы бюджета города Ставрополя</w:t>
      </w:r>
    </w:p>
    <w:p w14:paraId="21000000">
      <w:pPr>
        <w:widowControl w:val="0"/>
        <w:spacing w:line="228" w:lineRule="auto"/>
        <w:ind w:firstLine="2694" w:left="0"/>
        <w:jc w:val="both"/>
      </w:pP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>первый квартал</w:t>
      </w:r>
      <w:r>
        <w:t xml:space="preserve"> </w:t>
      </w:r>
      <w:r>
        <w:t>202</w:t>
      </w:r>
      <w:r>
        <w:t>4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>1 265 783</w:t>
      </w:r>
      <w:r>
        <w:t xml:space="preserve"> тыс. </w:t>
      </w:r>
      <w:r>
        <w:t>рублей. Бюджетн</w:t>
      </w:r>
      <w:r>
        <w:t xml:space="preserve">ые назначения исполнены на </w:t>
      </w:r>
      <w:r>
        <w:t>100,7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перевыполнен на </w:t>
      </w:r>
      <w:r>
        <w:t>9 391</w:t>
      </w:r>
      <w:r>
        <w:t xml:space="preserve"> </w:t>
      </w:r>
      <w:r>
        <w:t>тыс. рублей.</w:t>
      </w:r>
    </w:p>
    <w:p w14:paraId="2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1 079 477</w:t>
      </w:r>
      <w:r>
        <w:t xml:space="preserve"> тыс. рублей (8</w:t>
      </w:r>
      <w:r>
        <w:t>5</w:t>
      </w:r>
      <w:r>
        <w:t>,</w:t>
      </w:r>
      <w:r>
        <w:t>3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186 306</w:t>
      </w:r>
      <w:r>
        <w:t xml:space="preserve"> тыс. рублей (</w:t>
      </w:r>
      <w:r>
        <w:t>14,7</w:t>
      </w:r>
      <w:r>
        <w:t xml:space="preserve"> процента к сумме налоговых и неналоговых доходов);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>1 905 224</w:t>
      </w:r>
      <w:r>
        <w:t xml:space="preserve">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-</w:t>
      </w:r>
      <w:r>
        <w:t>31 688</w:t>
      </w:r>
      <w:r>
        <w:t xml:space="preserve"> тыс. рублей).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налоговым доходам выполнен в целом на </w:t>
      </w:r>
      <w:r>
        <w:t>100,9</w:t>
      </w:r>
      <w:r>
        <w:t xml:space="preserve"> процент</w:t>
      </w:r>
      <w:r>
        <w:t>а</w:t>
      </w:r>
      <w:r>
        <w:t xml:space="preserve">, в </w:t>
      </w:r>
      <w:r>
        <w:t xml:space="preserve">бюджет города Ставрополя дополнительно поступило платежей в сумме </w:t>
      </w:r>
      <w:r>
        <w:t>9</w:t>
      </w:r>
      <w:r>
        <w:t> 391</w:t>
      </w:r>
      <w:r>
        <w:t> тыс. рублей.</w:t>
      </w:r>
    </w:p>
    <w:p w14:paraId="28000000">
      <w:pPr>
        <w:widowControl w:val="0"/>
        <w:tabs>
          <w:tab w:leader="none" w:pos="709" w:val="left"/>
        </w:tabs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единому сельскохозяйственному налогу – 2 942 тыс. рублей;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доходы физических лиц – </w:t>
      </w:r>
      <w:r>
        <w:t>2 143</w:t>
      </w:r>
      <w:r>
        <w:t xml:space="preserve"> тыс. рублей;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налогу, взимаемому в связи с применением упрощенной системы налогообложения, – 1 948 тыс. рублей;</w:t>
      </w:r>
    </w:p>
    <w:p w14:paraId="2C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813 тыс. рублей;</w:t>
      </w:r>
    </w:p>
    <w:p w14:paraId="2D000000">
      <w:pPr>
        <w:widowControl w:val="0"/>
        <w:tabs>
          <w:tab w:leader="none" w:pos="709" w:val="left"/>
        </w:tabs>
        <w:ind w:firstLine="709" w:left="0"/>
        <w:jc w:val="both"/>
      </w:pPr>
      <w:r>
        <w:t>по земельному налогу – 802 тыс. рублей;</w:t>
      </w:r>
    </w:p>
    <w:p w14:paraId="2E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имущество физических лиц – </w:t>
      </w:r>
      <w:r>
        <w:t>495</w:t>
      </w:r>
      <w:r>
        <w:t xml:space="preserve"> тыс. рублей; 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</w:pPr>
      <w:r>
        <w:t>по единому налогу на вмененный доход от отдельных видов деятельности – 191 тыс. рублей;</w:t>
      </w:r>
    </w:p>
    <w:p w14:paraId="30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государственной пошлине – </w:t>
      </w:r>
      <w:r>
        <w:t>182</w:t>
      </w:r>
      <w:r>
        <w:t xml:space="preserve"> тыс. рублей.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</w:t>
      </w:r>
      <w:r>
        <w:t xml:space="preserve"> </w:t>
      </w:r>
      <w:r>
        <w:t xml:space="preserve">по акцизам по подакцизным товарам (продукции) – на 125 тыс. рублей </w:t>
      </w:r>
      <w:r>
        <w:t>(администратор – Управление Федеральной налоговой службы по Ставропольскому краю).</w:t>
      </w:r>
    </w:p>
    <w:p w14:paraId="3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100</w:t>
      </w:r>
      <w:r>
        <w:t xml:space="preserve"> процент</w:t>
      </w:r>
      <w:r>
        <w:t>ов.</w:t>
      </w:r>
      <w:r>
        <w:t xml:space="preserve"> В доход бюджета города Ставрополя сверх установленных плановых назначений поступили платежи</w:t>
      </w:r>
      <w:r>
        <w:t>:</w:t>
      </w:r>
    </w:p>
    <w:p w14:paraId="33000000">
      <w:pPr>
        <w:spacing w:line="228" w:lineRule="auto"/>
        <w:ind w:firstLine="709" w:left="0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t>1</w:t>
      </w:r>
      <w:r>
        <w:t> </w:t>
      </w:r>
      <w:r>
        <w:t>108</w:t>
      </w:r>
      <w:r>
        <w:t xml:space="preserve"> тыс. рублей;</w:t>
      </w:r>
    </w:p>
    <w:p w14:paraId="34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перечисления части прибыли, остающейся после уплаты налогов и иных обязательных платежей муниципальных унитарных предприятий, – на 800 тыс. рублей;</w:t>
      </w:r>
    </w:p>
    <w:p w14:paraId="35000000">
      <w:pPr>
        <w:ind w:firstLine="629" w:left="80"/>
        <w:jc w:val="both"/>
      </w:pPr>
      <w:r>
        <w:t>по плате за негативное воздействие на окружающую среду – на 676</w:t>
      </w:r>
      <w:r>
        <w:t> </w:t>
      </w:r>
      <w:r>
        <w:t>тыс. рублей;</w:t>
      </w:r>
    </w:p>
    <w:p w14:paraId="3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>на 598</w:t>
      </w:r>
      <w:r>
        <w:t xml:space="preserve"> тыс. </w:t>
      </w:r>
      <w:r>
        <w:t>рублей;</w:t>
      </w:r>
    </w:p>
    <w:p w14:paraId="3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 – на 266 тыс. рублей;</w:t>
      </w:r>
    </w:p>
    <w:p w14:paraId="38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14</w:t>
      </w:r>
      <w:r>
        <w:t xml:space="preserve"> тыс. рублей</w:t>
      </w:r>
      <w:r>
        <w:t>.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</w:t>
      </w:r>
      <w:r>
        <w:t xml:space="preserve">по неналоговым </w:t>
      </w:r>
      <w:r>
        <w:t>не выполнен</w:t>
      </w:r>
      <w:r>
        <w:t>:</w:t>
      </w:r>
    </w:p>
    <w:p w14:paraId="3A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 – на 1 239 тыс. рублей;</w:t>
      </w:r>
    </w:p>
    <w:p w14:paraId="3B000000">
      <w:pPr>
        <w:spacing w:line="228" w:lineRule="auto"/>
        <w:ind w:firstLine="709" w:left="0"/>
        <w:jc w:val="both"/>
      </w:pPr>
      <w: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</w:t>
      </w:r>
      <w:r>
        <w:t>664</w:t>
      </w:r>
      <w:r>
        <w:t xml:space="preserve"> тыс. </w:t>
      </w:r>
      <w:r>
        <w:t>рублей</w:t>
      </w:r>
      <w:r>
        <w:t xml:space="preserve"> (администратор – комитет по управлению муниципальным имуществом города Ставрополя)</w:t>
      </w:r>
      <w:r>
        <w:t>;</w:t>
      </w:r>
    </w:p>
    <w:p w14:paraId="3C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 от оказания платных услуг (работ) </w:t>
      </w:r>
      <w:r>
        <w:t>и компенсации затрат государства</w:t>
      </w:r>
      <w:r>
        <w:t xml:space="preserve"> – на 645 тыс. рублей</w:t>
      </w:r>
      <w:r>
        <w:t xml:space="preserve"> в части доходов от компенсации затрат бюджетов городских округов (администраторы </w:t>
      </w:r>
      <w:r>
        <w:t>–</w:t>
      </w:r>
      <w:r>
        <w:t xml:space="preserve"> комитет труда и социальной защиты населения администрации города Ставрополя, комитет градостроительства администрации города Ставрополя)</w:t>
      </w:r>
      <w:r>
        <w:t>;</w:t>
      </w:r>
    </w:p>
    <w:p w14:paraId="3D000000">
      <w:pPr>
        <w:spacing w:line="228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553 тыс. рублей (администратор – комитет по управлению муниципальным имуществом города Ставрополя);</w:t>
      </w:r>
    </w:p>
    <w:p w14:paraId="3E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прочим поступлениям от использования имущества, находящегося в </w:t>
      </w:r>
      <w:r>
        <w:t xml:space="preserve">собственности городских округов, – на </w:t>
      </w:r>
      <w:r>
        <w:t>3</w:t>
      </w:r>
      <w:r>
        <w:t>61</w:t>
      </w:r>
      <w:r>
        <w:t xml:space="preserve"> </w:t>
      </w:r>
      <w:r>
        <w:t>тыс. рублей</w:t>
      </w:r>
      <w:r>
        <w:t xml:space="preserve">, </w:t>
      </w:r>
      <w:r>
        <w:t>из них</w:t>
      </w:r>
      <w:r>
        <w:t xml:space="preserve"> по плате за предоставление права на размещение и эксплуатацию нестационарного торгового объекта</w:t>
      </w:r>
      <w:r>
        <w:t xml:space="preserve"> </w:t>
      </w:r>
      <w:r>
        <w:t xml:space="preserve">на </w:t>
      </w:r>
      <w:r>
        <w:t>522</w:t>
      </w:r>
      <w:r>
        <w:t xml:space="preserve"> тыс. рублей </w:t>
      </w:r>
      <w:r>
        <w:t>(</w:t>
      </w:r>
      <w:r>
        <w:t xml:space="preserve">администратор – </w:t>
      </w:r>
      <w:r>
        <w:t>комитет экономического развития и торговли администрации города Ставрополя)</w:t>
      </w:r>
      <w:r>
        <w:t>.</w:t>
      </w:r>
    </w:p>
    <w:p w14:paraId="3F000000">
      <w:pPr>
        <w:widowControl w:val="0"/>
        <w:ind w:firstLine="709" w:left="0"/>
        <w:jc w:val="both"/>
      </w:pPr>
    </w:p>
    <w:p w14:paraId="40000000">
      <w:pPr>
        <w:widowControl w:val="0"/>
        <w:ind w:firstLine="709" w:left="0"/>
        <w:jc w:val="center"/>
      </w:pPr>
      <w:r>
        <w:t>Расходы бюджета города Ставрополя</w:t>
      </w:r>
    </w:p>
    <w:p w14:paraId="41000000">
      <w:pPr>
        <w:widowControl w:val="0"/>
        <w:ind w:firstLine="709" w:left="0"/>
        <w:jc w:val="center"/>
        <w:rPr>
          <w:sz w:val="18"/>
        </w:rPr>
      </w:pPr>
    </w:p>
    <w:p w14:paraId="42000000">
      <w:pPr>
        <w:widowControl w:val="0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>за первый квартал</w:t>
      </w:r>
      <w:r>
        <w:t xml:space="preserve"> </w:t>
      </w:r>
      <w:r>
        <w:t>2024</w:t>
      </w:r>
      <w:r>
        <w:t xml:space="preserve"> года составили </w:t>
      </w:r>
      <w:r>
        <w:rPr>
          <w:rFonts w:ascii="Times New Roman" w:hAnsi="Times New Roman"/>
          <w:color w:val="000000"/>
          <w:spacing w:val="0"/>
          <w:sz w:val="28"/>
        </w:rPr>
        <w:t>3 427</w:t>
      </w:r>
      <w:r>
        <w:t> 414</w:t>
      </w:r>
      <w:r>
        <w:rPr>
          <w:b w:val="1"/>
          <w:sz w:val="24"/>
        </w:rPr>
        <w:t xml:space="preserve"> </w:t>
      </w:r>
      <w:r>
        <w:t>тыс. рублей, или 99,6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первый квартал</w:t>
      </w:r>
      <w:r>
        <w:t xml:space="preserve"> </w:t>
      </w:r>
      <w:r>
        <w:t>2024</w:t>
      </w:r>
      <w:r>
        <w:t xml:space="preserve"> года. </w:t>
      </w:r>
    </w:p>
    <w:p w14:paraId="43000000">
      <w:pPr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4000000">
      <w:pPr>
        <w:rPr>
          <w:sz w:val="18"/>
        </w:rPr>
      </w:pPr>
    </w:p>
    <w:p w14:paraId="45000000">
      <w:pPr>
        <w:widowControl w:val="0"/>
        <w:tabs>
          <w:tab w:leader="none" w:pos="993" w:val="left"/>
        </w:tabs>
        <w:spacing w:line="216" w:lineRule="auto"/>
        <w:ind/>
        <w:jc w:val="center"/>
      </w:pPr>
      <w:r>
        <w:t>Исполнение</w:t>
      </w:r>
    </w:p>
    <w:p w14:paraId="46000000">
      <w:pPr>
        <w:widowControl w:val="0"/>
        <w:spacing w:line="216" w:lineRule="auto"/>
        <w:ind/>
        <w:jc w:val="center"/>
      </w:pPr>
      <w:r>
        <w:t>расходной части бюджета города Ставрополя в разрезе главных распорядителей бюджетных средств за первый квартал</w:t>
      </w:r>
      <w:r>
        <w:t xml:space="preserve"> </w:t>
      </w:r>
      <w:r>
        <w:t>2024</w:t>
      </w:r>
      <w:r>
        <w:t> года</w:t>
      </w:r>
    </w:p>
    <w:p w14:paraId="47000000">
      <w:pPr>
        <w:widowControl w:val="0"/>
        <w:ind w:firstLine="539" w:left="0"/>
        <w:jc w:val="center"/>
        <w:rPr>
          <w:sz w:val="18"/>
        </w:rPr>
      </w:pPr>
    </w:p>
    <w:p w14:paraId="48000000">
      <w:pPr>
        <w:widowControl w:val="0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2"/>
        <w:tblW w:type="auto" w:w="0"/>
        <w:tblInd w:type="dxa" w:w="108"/>
        <w:tblLayout w:type="fixed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spacing w:line="192" w:lineRule="auto"/>
              <w:ind w:firstLine="0" w:left="-108" w:right="-188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FFFFFF" w:val="clear"/>
          </w:tcPr>
          <w:p w14:paraId="4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первый квартал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D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>
        <w:trPr>
          <w:trHeight w:hRule="atLeast" w:val="15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0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8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6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14 139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14 139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7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86 637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85 977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</w:tr>
      <w:tr>
        <w:trPr>
          <w:trHeight w:hRule="atLeast" w:val="106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6" w:val="single"/>
              <w:right w:sz="4" w:val="nil"/>
            </w:tcBorders>
            <w:shd w:fill="auto" w:val="clear"/>
            <w:vAlign w:val="center"/>
          </w:tcPr>
          <w:p w14:paraId="62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26 060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26 060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65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86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</w:tcPr>
          <w:p w14:paraId="6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54 132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54 132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930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45 086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42 422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2 664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94,1</w:t>
            </w:r>
          </w:p>
        </w:tc>
      </w:tr>
      <w:tr>
        <w:trPr>
          <w:trHeight w:hRule="atLeast" w:val="87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1 607 672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1 607 554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4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159 944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159 944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6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647 639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647 596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C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56 128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55 672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456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</w:tr>
      <w:tr>
        <w:trPr>
          <w:trHeight w:hRule="atLeast" w:val="59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2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69 474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66 606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2 868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59 743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59 743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8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E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102 368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96 415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5 953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94,2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4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161 372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161 372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309 302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309 295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89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0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35 063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35 063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6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5 424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5 424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75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3 440 183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3 427 414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12 769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99,6</w:t>
            </w:r>
          </w:p>
        </w:tc>
      </w:tr>
    </w:tbl>
    <w:p w14:paraId="C0000000">
      <w:pPr>
        <w:widowControl w:val="0"/>
        <w:spacing w:line="240" w:lineRule="auto"/>
        <w:ind w:firstLine="539" w:left="0"/>
        <w:jc w:val="right"/>
        <w:rPr>
          <w:sz w:val="18"/>
        </w:rPr>
      </w:pPr>
    </w:p>
    <w:p w14:paraId="C1000000">
      <w:pPr>
        <w:spacing w:line="240" w:lineRule="auto"/>
        <w:ind w:firstLine="709" w:left="0"/>
        <w:jc w:val="both"/>
      </w:pPr>
      <w:r>
        <w:t>В части местных полномочий исполнение плановых назначений за первый квартал</w:t>
      </w:r>
      <w:r>
        <w:t xml:space="preserve"> </w:t>
      </w:r>
      <w:r>
        <w:t>202</w:t>
      </w:r>
      <w:r>
        <w:t>4</w:t>
      </w:r>
      <w:r>
        <w:t xml:space="preserve"> года </w:t>
      </w:r>
      <w:r>
        <w:t xml:space="preserve">составило </w:t>
      </w:r>
      <w:r>
        <w:t>99,8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537</w:t>
      </w:r>
      <w:r>
        <w:t> 512</w:t>
      </w:r>
      <w:r>
        <w:t xml:space="preserve"> </w:t>
      </w:r>
      <w:r>
        <w:t>тыс. рублей кассовые расходы составили 1</w:t>
      </w:r>
      <w:r>
        <w:rPr>
          <w:rFonts w:ascii="Times New Roman" w:hAnsi="Times New Roman"/>
          <w:color w:val="000000"/>
          <w:spacing w:val="0"/>
          <w:sz w:val="28"/>
        </w:rPr>
        <w:t> 533</w:t>
      </w:r>
      <w:r>
        <w:t xml:space="preserve"> 909 </w:t>
      </w:r>
      <w:r>
        <w:t>тыс. рублей, остаток составил 3</w:t>
      </w:r>
      <w:r>
        <w:rPr>
          <w:rFonts w:ascii="Times New Roman" w:hAnsi="Times New Roman"/>
          <w:color w:val="000000"/>
          <w:spacing w:val="0"/>
          <w:sz w:val="28"/>
        </w:rPr>
        <w:t xml:space="preserve"> 603 </w:t>
      </w:r>
      <w:r>
        <w:t>тыс. рублей</w:t>
      </w:r>
      <w:r>
        <w:t>).</w:t>
      </w:r>
    </w:p>
    <w:p w14:paraId="C2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99,5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902</w:t>
      </w:r>
      <w:r>
        <w:t> 671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t>1</w:t>
      </w:r>
      <w:r>
        <w:rPr>
          <w:rFonts w:ascii="Times New Roman" w:hAnsi="Times New Roman"/>
          <w:color w:val="000000"/>
          <w:spacing w:val="0"/>
          <w:sz w:val="28"/>
        </w:rPr>
        <w:t> 893</w:t>
      </w:r>
      <w:r>
        <w:t> 505</w:t>
      </w:r>
      <w:r>
        <w:t xml:space="preserve"> </w:t>
      </w:r>
      <w:r>
        <w:t>тыс. рублей, остаток составил 9</w:t>
      </w:r>
      <w:r>
        <w:t> 166</w:t>
      </w:r>
      <w:r>
        <w:t> тыс. рублей)</w:t>
      </w:r>
      <w:r>
        <w:t>.</w:t>
      </w:r>
    </w:p>
    <w:p w14:paraId="C3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>за первый квартал</w:t>
      </w:r>
      <w:r>
        <w:t xml:space="preserve"> </w:t>
      </w:r>
      <w:r>
        <w:t>2024</w:t>
      </w:r>
      <w:r>
        <w:t xml:space="preserve"> года к годовым плановым назначениям по расходам составило в целом 16,4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2023</w:t>
      </w:r>
      <w:r>
        <w:t xml:space="preserve"> года – 21,6</w:t>
      </w:r>
      <w:r>
        <w:t xml:space="preserve"> </w:t>
      </w:r>
      <w:r>
        <w:t>процента</w:t>
      </w:r>
      <w:r>
        <w:t>).</w:t>
      </w:r>
    </w:p>
    <w:p w14:paraId="C4000000">
      <w:pPr>
        <w:spacing w:line="240" w:lineRule="auto"/>
        <w:ind w:firstLine="709" w:left="0"/>
        <w:jc w:val="both"/>
      </w:pPr>
      <w:r>
        <w:t>Сумма остатков средств на 31.03.2024 на счетах бюджета города Ставрополя уменьшилась по сравнению с началом года на 87</w:t>
      </w:r>
      <w:r>
        <w:rPr>
          <w:rFonts w:ascii="Times New Roman" w:hAnsi="Times New Roman"/>
          <w:color w:val="000000"/>
          <w:spacing w:val="0"/>
          <w:sz w:val="28"/>
        </w:rPr>
        <w:t> 430</w:t>
      </w:r>
      <w:r>
        <w:t xml:space="preserve"> тыс. руб</w:t>
      </w:r>
      <w:r>
        <w:t xml:space="preserve">лей и составила </w:t>
      </w:r>
      <w:r>
        <w:rPr>
          <w:rFonts w:ascii="Times New Roman" w:hAnsi="Times New Roman"/>
          <w:color w:val="000000"/>
          <w:spacing w:val="0"/>
          <w:sz w:val="28"/>
        </w:rPr>
        <w:t>685 137</w:t>
      </w:r>
      <w:r>
        <w:t xml:space="preserve"> тыс. рублей.</w:t>
      </w:r>
    </w:p>
    <w:p w14:paraId="C5000000">
      <w:pPr>
        <w:spacing w:line="240" w:lineRule="auto"/>
        <w:ind w:firstLine="709" w:left="0"/>
        <w:jc w:val="both"/>
      </w:pPr>
      <w:r>
        <w:rPr>
          <w:rStyle w:val="Style_4_ch"/>
        </w:rPr>
        <w:t xml:space="preserve">Муниципальный долг по состоянию на 31.03.2024 составил </w:t>
      </w:r>
      <w:r>
        <w:br/>
      </w:r>
      <w:r>
        <w:rPr>
          <w:rStyle w:val="Style_4_ch"/>
        </w:rPr>
        <w:t>1 908 886 тыс. рублей, в том числе задолженность по бюджетным кредитам – 1 908 886 тыс. рублей, задолженность по кредитам кредитных организаций отсутствует.</w:t>
      </w:r>
    </w:p>
    <w:p w14:paraId="C6000000">
      <w:pPr>
        <w:spacing w:line="240" w:lineRule="auto"/>
        <w:ind w:firstLine="709" w:left="0"/>
        <w:jc w:val="both"/>
      </w:pPr>
      <w:r>
        <w:t>Расходы на обслуживание муниципального долга з</w:t>
      </w:r>
      <w:r>
        <w:t xml:space="preserve">а первый квартал </w:t>
      </w:r>
      <w:r>
        <w:t>202</w:t>
      </w:r>
      <w:r>
        <w:t>4</w:t>
      </w:r>
      <w:r>
        <w:t xml:space="preserve"> года составили 3</w:t>
      </w:r>
      <w:r>
        <w:rPr>
          <w:rFonts w:ascii="Times New Roman" w:hAnsi="Times New Roman"/>
          <w:color w:val="000000"/>
          <w:spacing w:val="0"/>
          <w:sz w:val="28"/>
        </w:rPr>
        <w:t>7 296</w:t>
      </w:r>
      <w:r>
        <w:t xml:space="preserve"> тыс. рублей.</w:t>
      </w:r>
    </w:p>
    <w:p w14:paraId="C7000000">
      <w:pPr>
        <w:widowControl w:val="0"/>
        <w:ind w:firstLine="567" w:left="0"/>
        <w:jc w:val="both"/>
        <w:rPr>
          <w:sz w:val="24"/>
        </w:rPr>
      </w:pPr>
    </w:p>
    <w:p w14:paraId="C8000000">
      <w:pPr>
        <w:ind w:firstLine="709" w:left="0"/>
      </w:pPr>
      <w:r>
        <w:t>Приложение: на 5 л. в 1 экз.</w:t>
      </w:r>
    </w:p>
    <w:p w14:paraId="C9000000"/>
    <w:p w14:paraId="CA000000"/>
    <w:p w14:paraId="CB000000"/>
    <w:tbl>
      <w:tblPr>
        <w:tblStyle w:val="Style_2"/>
        <w:tblW w:type="auto" w:w="0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CC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</w:t>
            </w:r>
            <w:r>
              <w:t xml:space="preserve">главы </w:t>
            </w:r>
          </w:p>
          <w:p w14:paraId="CD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E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руководител</w:t>
            </w:r>
            <w:r>
              <w:t>ь</w:t>
            </w:r>
            <w:r>
              <w:t xml:space="preserve"> комитета финансов и бюджета </w:t>
            </w:r>
          </w:p>
          <w:p w14:paraId="CF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D0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D1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916"/>
        </w:trPr>
        <w:tc>
          <w:tcPr>
            <w:tcW w:type="dxa" w:w="284"/>
            <w:shd w:fill="auto" w:val="clear"/>
          </w:tcPr>
          <w:p w14:paraId="D2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3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4"/>
            <w:shd w:fill="auto" w:val="clear"/>
          </w:tcPr>
          <w:p w14:paraId="D4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5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6000000">
      <w:pPr>
        <w:spacing w:line="240" w:lineRule="exact"/>
        <w:ind/>
        <w:jc w:val="both"/>
        <w:rPr>
          <w:sz w:val="20"/>
        </w:rPr>
      </w:pPr>
    </w:p>
    <w:p w14:paraId="D7000000">
      <w:pPr>
        <w:spacing w:line="240" w:lineRule="exact"/>
        <w:ind/>
        <w:jc w:val="both"/>
        <w:rPr>
          <w:sz w:val="20"/>
        </w:rPr>
      </w:pPr>
    </w:p>
    <w:p w14:paraId="D8000000">
      <w:pPr>
        <w:spacing w:line="240" w:lineRule="exact"/>
        <w:ind/>
        <w:jc w:val="both"/>
        <w:rPr>
          <w:sz w:val="20"/>
        </w:rPr>
      </w:pPr>
    </w:p>
    <w:p w14:paraId="D9000000">
      <w:pPr>
        <w:spacing w:line="240" w:lineRule="exact"/>
        <w:ind/>
        <w:jc w:val="both"/>
        <w:rPr>
          <w:sz w:val="20"/>
        </w:rPr>
      </w:pPr>
    </w:p>
    <w:p w14:paraId="DA000000">
      <w:pPr>
        <w:spacing w:line="240" w:lineRule="exact"/>
        <w:ind/>
        <w:jc w:val="both"/>
        <w:rPr>
          <w:sz w:val="20"/>
        </w:rPr>
      </w:pPr>
    </w:p>
    <w:p w14:paraId="DB000000">
      <w:pPr>
        <w:spacing w:line="240" w:lineRule="exact"/>
        <w:ind/>
        <w:jc w:val="both"/>
        <w:rPr>
          <w:sz w:val="20"/>
        </w:rPr>
      </w:pPr>
    </w:p>
    <w:p w14:paraId="DC000000">
      <w:pPr>
        <w:spacing w:line="240" w:lineRule="exact"/>
        <w:ind/>
        <w:jc w:val="both"/>
        <w:rPr>
          <w:sz w:val="20"/>
        </w:rPr>
      </w:pPr>
    </w:p>
    <w:p w14:paraId="DD000000">
      <w:pPr>
        <w:spacing w:line="240" w:lineRule="exact"/>
        <w:ind/>
        <w:jc w:val="both"/>
        <w:rPr>
          <w:sz w:val="20"/>
        </w:rPr>
      </w:pPr>
    </w:p>
    <w:p w14:paraId="DE000000">
      <w:pPr>
        <w:spacing w:line="240" w:lineRule="exact"/>
        <w:ind/>
        <w:jc w:val="both"/>
        <w:rPr>
          <w:sz w:val="20"/>
        </w:rPr>
      </w:pPr>
    </w:p>
    <w:p w14:paraId="DF000000">
      <w:pPr>
        <w:spacing w:line="240" w:lineRule="exact"/>
        <w:ind/>
        <w:jc w:val="both"/>
        <w:rPr>
          <w:sz w:val="20"/>
        </w:rPr>
      </w:pPr>
    </w:p>
    <w:p w14:paraId="E0000000">
      <w:pPr>
        <w:spacing w:line="240" w:lineRule="exact"/>
        <w:ind/>
        <w:jc w:val="both"/>
        <w:rPr>
          <w:sz w:val="20"/>
        </w:rPr>
      </w:pPr>
    </w:p>
    <w:p w14:paraId="E1000000">
      <w:pPr>
        <w:spacing w:line="240" w:lineRule="exact"/>
        <w:ind/>
        <w:jc w:val="both"/>
        <w:rPr>
          <w:sz w:val="20"/>
        </w:rPr>
      </w:pPr>
    </w:p>
    <w:p w14:paraId="E2000000">
      <w:pPr>
        <w:spacing w:line="240" w:lineRule="exact"/>
        <w:ind/>
        <w:jc w:val="both"/>
        <w:rPr>
          <w:sz w:val="20"/>
        </w:rPr>
      </w:pPr>
    </w:p>
    <w:p w14:paraId="E3000000">
      <w:pPr>
        <w:spacing w:line="240" w:lineRule="exact"/>
        <w:ind/>
        <w:jc w:val="both"/>
        <w:rPr>
          <w:sz w:val="20"/>
        </w:rPr>
      </w:pPr>
    </w:p>
    <w:p w14:paraId="E4000000">
      <w:pPr>
        <w:spacing w:line="240" w:lineRule="exact"/>
        <w:ind/>
        <w:jc w:val="both"/>
        <w:rPr>
          <w:sz w:val="20"/>
        </w:rPr>
      </w:pPr>
    </w:p>
    <w:p w14:paraId="E5000000">
      <w:pPr>
        <w:spacing w:line="240" w:lineRule="exact"/>
        <w:ind/>
        <w:jc w:val="both"/>
        <w:rPr>
          <w:sz w:val="20"/>
        </w:rPr>
      </w:pPr>
    </w:p>
    <w:p w14:paraId="E6000000">
      <w:pPr>
        <w:spacing w:line="240" w:lineRule="exact"/>
        <w:ind/>
        <w:jc w:val="both"/>
        <w:rPr>
          <w:sz w:val="20"/>
        </w:rPr>
      </w:pPr>
    </w:p>
    <w:p w14:paraId="E7000000">
      <w:pPr>
        <w:spacing w:line="240" w:lineRule="exact"/>
        <w:ind/>
        <w:jc w:val="both"/>
        <w:rPr>
          <w:sz w:val="20"/>
        </w:rPr>
      </w:pPr>
    </w:p>
    <w:p w14:paraId="E8000000">
      <w:pPr>
        <w:spacing w:line="240" w:lineRule="exact"/>
        <w:ind/>
        <w:jc w:val="both"/>
        <w:rPr>
          <w:sz w:val="20"/>
        </w:rPr>
      </w:pPr>
    </w:p>
    <w:p w14:paraId="E9000000">
      <w:pPr>
        <w:spacing w:line="240" w:lineRule="exact"/>
        <w:ind/>
        <w:jc w:val="both"/>
        <w:rPr>
          <w:sz w:val="20"/>
        </w:rPr>
      </w:pPr>
    </w:p>
    <w:p w14:paraId="EA000000">
      <w:pPr>
        <w:spacing w:line="240" w:lineRule="exact"/>
        <w:ind/>
        <w:jc w:val="both"/>
        <w:rPr>
          <w:sz w:val="20"/>
        </w:rPr>
      </w:pPr>
    </w:p>
    <w:p w14:paraId="EB000000">
      <w:pPr>
        <w:spacing w:line="240" w:lineRule="exact"/>
        <w:ind/>
        <w:jc w:val="both"/>
        <w:rPr>
          <w:sz w:val="20"/>
        </w:rPr>
      </w:pPr>
    </w:p>
    <w:p w14:paraId="EC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ED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 xml:space="preserve">Н.Н. </w:t>
      </w:r>
      <w:r>
        <w:rPr>
          <w:sz w:val="18"/>
        </w:rPr>
        <w:t>Кирюшкина</w:t>
      </w:r>
      <w:r>
        <w:rPr>
          <w:sz w:val="18"/>
        </w:rPr>
        <w:t>, 74-94-91</w:t>
      </w:r>
    </w:p>
    <w:p w14:paraId="EE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EF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З.А. Андрейченко, 74-93-57</w:t>
      </w:r>
    </w:p>
    <w:sectPr>
      <w:headerReference r:id="rId1" w:type="default"/>
      <w:pgSz w:h="16848" w:orient="portrait" w:w="11908"/>
      <w:pgMar w:bottom="1134" w:footer="709" w:gutter="0" w:header="709" w:left="1984" w:right="567" w:top="141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footer"/>
    <w:basedOn w:val="Style_4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footer"/>
    <w:basedOn w:val="Style_4_ch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ody Text"/>
    <w:basedOn w:val="Style_4"/>
    <w:link w:val="Style_12_ch"/>
    <w:pPr>
      <w:ind/>
      <w:jc w:val="center"/>
    </w:pPr>
    <w:rPr>
      <w:b w:val="1"/>
      <w:caps w:val="1"/>
    </w:rPr>
  </w:style>
  <w:style w:styleId="Style_12_ch" w:type="character">
    <w:name w:val="Body Text"/>
    <w:basedOn w:val="Style_4_ch"/>
    <w:link w:val="Style_12"/>
    <w:rPr>
      <w:b w:val="1"/>
      <w:caps w:val="1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annotation reference"/>
    <w:basedOn w:val="Style_15"/>
    <w:link w:val="Style_14_ch"/>
    <w:rPr>
      <w:sz w:val="16"/>
    </w:rPr>
  </w:style>
  <w:style w:styleId="Style_14_ch" w:type="character">
    <w:name w:val="annotation reference"/>
    <w:basedOn w:val="Style_15_ch"/>
    <w:link w:val="Style_14"/>
    <w:rPr>
      <w:sz w:val="16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basedOn w:val="Style_4"/>
    <w:next w:val="Style_4"/>
    <w:link w:val="Style_17_ch"/>
    <w:uiPriority w:val="9"/>
    <w:qFormat/>
    <w:pPr>
      <w:keepNext w:val="1"/>
      <w:ind/>
      <w:outlineLvl w:val="0"/>
    </w:pPr>
    <w:rPr>
      <w:b w:val="1"/>
    </w:rPr>
  </w:style>
  <w:style w:styleId="Style_17_ch" w:type="character">
    <w:name w:val="heading 1"/>
    <w:basedOn w:val="Style_4_ch"/>
    <w:link w:val="Style_17"/>
    <w:rPr>
      <w:b w:val="1"/>
    </w:rPr>
  </w:style>
  <w:style w:styleId="Style_18" w:type="paragraph">
    <w:name w:val="annotation text"/>
    <w:basedOn w:val="Style_4"/>
    <w:link w:val="Style_18_ch"/>
    <w:rPr>
      <w:sz w:val="20"/>
    </w:rPr>
  </w:style>
  <w:style w:styleId="Style_18_ch" w:type="character">
    <w:name w:val="annotation text"/>
    <w:basedOn w:val="Style_4_ch"/>
    <w:link w:val="Style_18"/>
    <w:rPr>
      <w:sz w:val="2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Normal (Web)"/>
    <w:basedOn w:val="Style_4"/>
    <w:link w:val="Style_24_ch"/>
    <w:pPr>
      <w:spacing w:afterAutospacing="on" w:beforeAutospacing="on"/>
      <w:ind/>
    </w:pPr>
    <w:rPr>
      <w:sz w:val="24"/>
    </w:rPr>
  </w:style>
  <w:style w:styleId="Style_24_ch" w:type="character">
    <w:name w:val="Normal (Web)"/>
    <w:basedOn w:val="Style_4_ch"/>
    <w:link w:val="Style_24"/>
    <w:rPr>
      <w:sz w:val="24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annotation subject"/>
    <w:basedOn w:val="Style_18"/>
    <w:next w:val="Style_18"/>
    <w:link w:val="Style_27_ch"/>
    <w:rPr>
      <w:b w:val="1"/>
    </w:rPr>
  </w:style>
  <w:style w:styleId="Style_27_ch" w:type="character">
    <w:name w:val="annotation subject"/>
    <w:basedOn w:val="Style_18_ch"/>
    <w:link w:val="Style_27"/>
    <w:rPr>
      <w:b w:val="1"/>
    </w:rPr>
  </w:style>
  <w:style w:styleId="Style_28" w:type="paragraph">
    <w:name w:val="Balloon Text"/>
    <w:basedOn w:val="Style_4"/>
    <w:link w:val="Style_28_ch"/>
    <w:rPr>
      <w:rFonts w:ascii="Segoe UI" w:hAnsi="Segoe UI"/>
      <w:sz w:val="18"/>
    </w:rPr>
  </w:style>
  <w:style w:styleId="Style_28_ch" w:type="character">
    <w:name w:val="Balloon Text"/>
    <w:basedOn w:val="Style_4_ch"/>
    <w:link w:val="Style_28"/>
    <w:rPr>
      <w:rFonts w:ascii="Segoe UI" w:hAnsi="Segoe UI"/>
      <w:sz w:val="1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2024-04-09T13:13:02Z</dcterms:modified>
</cp:coreProperties>
</file>