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51" w:rsidRDefault="001218A9">
      <w:pPr>
        <w:pStyle w:val="ConsPlusNormal"/>
        <w:contextualSpacing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Ind w:w="4786" w:type="dxa"/>
        <w:tblLayout w:type="fixed"/>
        <w:tblLook w:val="04A0" w:firstRow="1" w:lastRow="0" w:firstColumn="1" w:lastColumn="0" w:noHBand="0" w:noVBand="1"/>
      </w:tblPr>
      <w:tblGrid>
        <w:gridCol w:w="4568"/>
      </w:tblGrid>
      <w:tr w:rsidR="005A6051">
        <w:tc>
          <w:tcPr>
            <w:tcW w:w="4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51" w:rsidRDefault="001218A9">
            <w:pPr>
              <w:widowControl w:val="0"/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5A6051" w:rsidRDefault="005A6051">
            <w:pPr>
              <w:widowControl w:val="0"/>
              <w:spacing w:line="240" w:lineRule="exact"/>
              <w:jc w:val="both"/>
              <w:rPr>
                <w:sz w:val="28"/>
              </w:rPr>
            </w:pPr>
          </w:p>
          <w:p w:rsidR="005A6051" w:rsidRDefault="001218A9">
            <w:pPr>
              <w:widowControl w:val="0"/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постановлением администрации города Ставрополя </w:t>
            </w:r>
          </w:p>
          <w:p w:rsidR="005A6051" w:rsidRDefault="001218A9">
            <w:pPr>
              <w:widowControl w:val="0"/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                20     № </w:t>
            </w:r>
          </w:p>
        </w:tc>
      </w:tr>
    </w:tbl>
    <w:p w:rsidR="005A6051" w:rsidRDefault="005A6051">
      <w:pPr>
        <w:widowControl w:val="0"/>
        <w:jc w:val="both"/>
        <w:rPr>
          <w:sz w:val="28"/>
        </w:rPr>
      </w:pPr>
    </w:p>
    <w:p w:rsidR="005A6051" w:rsidRDefault="005A6051">
      <w:pPr>
        <w:widowControl w:val="0"/>
        <w:jc w:val="center"/>
        <w:rPr>
          <w:sz w:val="28"/>
        </w:rPr>
      </w:pPr>
    </w:p>
    <w:p w:rsidR="005A6051" w:rsidRDefault="005A6051">
      <w:pPr>
        <w:widowControl w:val="0"/>
        <w:jc w:val="center"/>
        <w:rPr>
          <w:sz w:val="28"/>
        </w:rPr>
      </w:pPr>
    </w:p>
    <w:p w:rsidR="005A6051" w:rsidRDefault="005A6051">
      <w:pPr>
        <w:widowControl w:val="0"/>
        <w:jc w:val="center"/>
        <w:rPr>
          <w:sz w:val="28"/>
        </w:rPr>
      </w:pPr>
    </w:p>
    <w:p w:rsidR="005A6051" w:rsidRDefault="001218A9">
      <w:pPr>
        <w:widowControl w:val="0"/>
        <w:jc w:val="center"/>
        <w:rPr>
          <w:sz w:val="28"/>
        </w:rPr>
      </w:pPr>
      <w:r>
        <w:rPr>
          <w:sz w:val="28"/>
        </w:rPr>
        <w:t>ПОЛОЖЕНИЕ</w:t>
      </w:r>
    </w:p>
    <w:p w:rsidR="005A6051" w:rsidRDefault="001218A9">
      <w:pPr>
        <w:spacing w:line="240" w:lineRule="exact"/>
        <w:contextualSpacing/>
        <w:jc w:val="center"/>
        <w:rPr>
          <w:sz w:val="28"/>
        </w:rPr>
      </w:pPr>
      <w:r>
        <w:rPr>
          <w:sz w:val="28"/>
        </w:rPr>
        <w:t xml:space="preserve">о порядке и условиях продажи долей, принадлежащих муниципальному образованию городу Ставрополю Ставропольского края в праве общей долевой </w:t>
      </w:r>
      <w:r>
        <w:rPr>
          <w:sz w:val="28"/>
        </w:rPr>
        <w:t>собственности на жилые помещения</w:t>
      </w:r>
    </w:p>
    <w:p w:rsidR="005A6051" w:rsidRDefault="005A6051">
      <w:pPr>
        <w:contextualSpacing/>
        <w:jc w:val="center"/>
        <w:rPr>
          <w:sz w:val="28"/>
        </w:rPr>
      </w:pPr>
    </w:p>
    <w:p w:rsidR="005A6051" w:rsidRDefault="001218A9">
      <w:pPr>
        <w:numPr>
          <w:ilvl w:val="0"/>
          <w:numId w:val="1"/>
        </w:numPr>
        <w:contextualSpacing/>
        <w:jc w:val="center"/>
        <w:outlineLvl w:val="0"/>
        <w:rPr>
          <w:sz w:val="28"/>
        </w:rPr>
      </w:pPr>
      <w:r>
        <w:rPr>
          <w:sz w:val="28"/>
        </w:rPr>
        <w:t>Общие положения</w:t>
      </w:r>
      <w:r>
        <w:rPr>
          <w:sz w:val="28"/>
        </w:rPr>
        <w:br/>
      </w:r>
    </w:p>
    <w:p w:rsidR="005A6051" w:rsidRDefault="001218A9">
      <w:pPr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Настоящее Положение о порядке и условиях продажи долей, принадлежащих муниципальному образованию городу Ставрополю Ставропольского края в праве общей долевой собственности на жилые помещения (далее - Полож</w:t>
      </w:r>
      <w:r>
        <w:rPr>
          <w:sz w:val="28"/>
        </w:rPr>
        <w:t xml:space="preserve">ение) разработано в соответствии с Гражданским </w:t>
      </w:r>
      <w:hyperlink r:id="rId7" w:history="1">
        <w:r>
          <w:rPr>
            <w:sz w:val="28"/>
          </w:rPr>
          <w:t>кодексом</w:t>
        </w:r>
      </w:hyperlink>
      <w:r>
        <w:rPr>
          <w:sz w:val="28"/>
        </w:rPr>
        <w:t xml:space="preserve"> Российской Федерации, федеральными законами от 29 июля 1998 г</w:t>
      </w:r>
      <w:r>
        <w:rPr>
          <w:sz w:val="28"/>
        </w:rPr>
        <w:t xml:space="preserve">. № 135-ФЗ «Об оценочной деятельности в Российской Федерации», от           06 октября 2003 г. № 131-ФЗ «Об общих принципах организации местного самоуправления в Российской Федерации», </w:t>
      </w:r>
      <w:hyperlink r:id="rId8" w:history="1">
        <w:r>
          <w:rPr>
            <w:sz w:val="28"/>
          </w:rPr>
          <w:t>Уставом</w:t>
        </w:r>
      </w:hyperlink>
      <w:r>
        <w:rPr>
          <w:sz w:val="28"/>
        </w:rPr>
        <w:t xml:space="preserve"> муниципального образования города Ставрополя Ставропольского края и устанавливает правила продажи физическим и юридическим лицам  долей, принадлежащих</w:t>
      </w:r>
      <w:r>
        <w:rPr>
          <w:sz w:val="28"/>
        </w:rPr>
        <w:t xml:space="preserve"> муниципальному образованию городу Ставрополю Ставропольского края в праве общей долевой собственности на жилые помещения  (далее соответственно - Заявители, Покупатели, город Ставрополь).</w:t>
      </w:r>
    </w:p>
    <w:p w:rsidR="005A6051" w:rsidRDefault="001218A9">
      <w:pPr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 В соответствии с настоящим Положением продаже подлежат  доли в </w:t>
      </w:r>
      <w:r>
        <w:rPr>
          <w:sz w:val="28"/>
        </w:rPr>
        <w:t>праве общей долевой собственности на жилые помещения (комнаты, квартиры, часть квартиры, жилые дома, части жилого дома), перешедшие в муниципальную собственность города Ставрополя на основании гражданско-правовых сделок или в порядке наследования по закону</w:t>
      </w:r>
      <w:r>
        <w:rPr>
          <w:sz w:val="28"/>
        </w:rPr>
        <w:t>, если выдел доли в натуре не допускается законом или невозможен без несоразмерного ущерба имуществу, находящемуся в общей долевой собственности (далее - доли в праве собственности на жилые помещения).</w:t>
      </w:r>
    </w:p>
    <w:p w:rsidR="005A6051" w:rsidRDefault="001218A9">
      <w:pPr>
        <w:ind w:firstLine="709"/>
        <w:contextualSpacing/>
        <w:jc w:val="both"/>
        <w:rPr>
          <w:sz w:val="28"/>
        </w:rPr>
      </w:pPr>
      <w:r>
        <w:rPr>
          <w:sz w:val="28"/>
        </w:rPr>
        <w:t>3. Продажа долей в праве собственности на жилые помеще</w:t>
      </w:r>
      <w:r>
        <w:rPr>
          <w:sz w:val="28"/>
        </w:rPr>
        <w:t>ния осуществляется уполномоченным органом – комитетом по управлению муниципальным имуществом города Ставрополя (далее - Комитет).</w:t>
      </w:r>
    </w:p>
    <w:p w:rsidR="005A6051" w:rsidRDefault="001218A9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4. Комитет в рамках предоставленных ему полномочий готовит правоустанавливающие и (или) правоподтверждающие документы на доли </w:t>
      </w:r>
      <w:r>
        <w:rPr>
          <w:sz w:val="28"/>
        </w:rPr>
        <w:t>в праве собственности на жилые помещения, заключает договоры на проведение оценки рыночной стоимости продаваемого имущества, готовит проекты правовых актов администрации города Ставрополя о продаже доли в праве собственности на жилые помещения без проведен</w:t>
      </w:r>
      <w:r>
        <w:rPr>
          <w:sz w:val="28"/>
        </w:rPr>
        <w:t xml:space="preserve">ия торгов, либо о </w:t>
      </w:r>
      <w:r>
        <w:rPr>
          <w:sz w:val="28"/>
        </w:rPr>
        <w:lastRenderedPageBreak/>
        <w:t>проведении аукциона по продаже доли в праве собственности на жилые помещения, организует и проводит аукцион по продаже доли в праве собственности на жилые помещения, заключает договоры купли-продажи доли в праве собственности на жилые пом</w:t>
      </w:r>
      <w:r>
        <w:rPr>
          <w:sz w:val="28"/>
        </w:rPr>
        <w:t>ещения.</w:t>
      </w:r>
    </w:p>
    <w:p w:rsidR="005A6051" w:rsidRDefault="001218A9">
      <w:pPr>
        <w:ind w:firstLine="709"/>
        <w:contextualSpacing/>
        <w:jc w:val="both"/>
        <w:rPr>
          <w:sz w:val="28"/>
        </w:rPr>
      </w:pPr>
      <w:r>
        <w:rPr>
          <w:sz w:val="28"/>
        </w:rPr>
        <w:t>5. Рыночная стоимость (начальная цена продажи при проведении аукциона) доли в праве собственности на жилые помещения, подлежащих отчуждению, определяется в порядке, установленном законодательством Российской Федерации, регулирующим оценочную деятел</w:t>
      </w:r>
      <w:r>
        <w:rPr>
          <w:sz w:val="28"/>
        </w:rPr>
        <w:t>ьность.</w:t>
      </w:r>
    </w:p>
    <w:p w:rsidR="005A6051" w:rsidRDefault="001218A9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6. Средства от продажи долей в праве собственности на жилые помещения зачисляются в бюджет города Ставрополя. Выплата покупателем стоимости доли в праве собственности на жилые помещения должна быть произведена не позднее 30 календарных дней со дня </w:t>
      </w:r>
      <w:r>
        <w:rPr>
          <w:sz w:val="28"/>
        </w:rPr>
        <w:t>подписания договора купли-продажи.</w:t>
      </w:r>
    </w:p>
    <w:p w:rsidR="005A6051" w:rsidRDefault="001218A9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7. Продажа доли в праве собственности на жилые помещения осуществляется посредством организации и проведения Комитетом аукционов в порядке, установленном Федеральным законом от 21 декабря 2001 г. № 178-ФЗ «О приватизации </w:t>
      </w:r>
      <w:r>
        <w:rPr>
          <w:sz w:val="28"/>
        </w:rPr>
        <w:t>государственного и муниципального имущества», за исключением случаев продажи доли в праве собственности на жилые помещения без проведения торгов с учетом особенностей, установленных настоящим Положением.</w:t>
      </w:r>
    </w:p>
    <w:p w:rsidR="005A6051" w:rsidRDefault="001218A9">
      <w:pPr>
        <w:ind w:firstLine="709"/>
        <w:contextualSpacing/>
        <w:jc w:val="both"/>
        <w:rPr>
          <w:sz w:val="28"/>
        </w:rPr>
      </w:pPr>
      <w:r>
        <w:rPr>
          <w:sz w:val="28"/>
        </w:rPr>
        <w:t>8.  Продажа объекта оформляется договором купли-прод</w:t>
      </w:r>
      <w:r>
        <w:rPr>
          <w:sz w:val="28"/>
        </w:rPr>
        <w:t xml:space="preserve">ажи. Договор купли-продажи  заключается с победителем аукциона либо с лицом (лицами), указанными в пунктах 27, 28 настоящего Положения в порядке, установленном Гражданским </w:t>
      </w:r>
      <w:hyperlink r:id="rId9" w:history="1">
        <w:r>
          <w:rPr>
            <w:color w:val="0000FF"/>
            <w:sz w:val="28"/>
          </w:rPr>
          <w:t>кодексом</w:t>
        </w:r>
      </w:hyperlink>
      <w:r>
        <w:rPr>
          <w:sz w:val="28"/>
        </w:rPr>
        <w:t xml:space="preserve"> Российской Федерации.</w:t>
      </w:r>
    </w:p>
    <w:p w:rsidR="005A6051" w:rsidRDefault="001218A9">
      <w:pPr>
        <w:ind w:firstLine="709"/>
        <w:contextualSpacing/>
        <w:jc w:val="both"/>
        <w:rPr>
          <w:sz w:val="28"/>
        </w:rPr>
      </w:pPr>
      <w:r>
        <w:rPr>
          <w:sz w:val="28"/>
        </w:rPr>
        <w:t>9. Передача доли в праве собственности на жилые помещения  покупателю осуществляется на основании подписанного сторонами передаточного акта после перечисления Покупателем</w:t>
      </w:r>
      <w:r>
        <w:rPr>
          <w:sz w:val="28"/>
        </w:rPr>
        <w:t xml:space="preserve"> стоимости по договору купли-продажи в полном объеме.</w:t>
      </w:r>
    </w:p>
    <w:p w:rsidR="005A6051" w:rsidRDefault="001218A9">
      <w:pPr>
        <w:ind w:firstLine="709"/>
        <w:contextualSpacing/>
        <w:jc w:val="both"/>
        <w:rPr>
          <w:sz w:val="28"/>
        </w:rPr>
      </w:pPr>
      <w:r>
        <w:rPr>
          <w:sz w:val="28"/>
        </w:rPr>
        <w:t>10. Переход права собственности на доли в праве собственности на жилые помещения подлежит государственной регистрации в органе регистрации прав.</w:t>
      </w:r>
    </w:p>
    <w:p w:rsidR="005A6051" w:rsidRDefault="001218A9">
      <w:pPr>
        <w:ind w:firstLine="709"/>
        <w:jc w:val="both"/>
        <w:rPr>
          <w:sz w:val="28"/>
        </w:rPr>
      </w:pPr>
      <w:r>
        <w:rPr>
          <w:sz w:val="28"/>
        </w:rPr>
        <w:t>11. Договор купли-продажи подлежит нотариальному удостове</w:t>
      </w:r>
      <w:r>
        <w:rPr>
          <w:sz w:val="28"/>
        </w:rPr>
        <w:t xml:space="preserve">рению. Расходы, связанные с нотариальным удостоверением договора                       купли-продажи  несет Покупатель. </w:t>
      </w:r>
    </w:p>
    <w:p w:rsidR="005A6051" w:rsidRDefault="001218A9">
      <w:pPr>
        <w:ind w:firstLine="709"/>
        <w:contextualSpacing/>
        <w:jc w:val="both"/>
        <w:rPr>
          <w:sz w:val="28"/>
        </w:rPr>
      </w:pPr>
      <w:r>
        <w:rPr>
          <w:sz w:val="28"/>
        </w:rPr>
        <w:t>12. Лица, ставшие собственниками долей в праве собственности на жилые помещения владеют, пользуются и распоряжаются ими по своему усмот</w:t>
      </w:r>
      <w:r>
        <w:rPr>
          <w:sz w:val="28"/>
        </w:rPr>
        <w:t>рению и несут ответственность в соответствии с действующим законодательством Российской Федерации.</w:t>
      </w:r>
    </w:p>
    <w:p w:rsidR="005A6051" w:rsidRDefault="005A6051">
      <w:pPr>
        <w:ind w:firstLine="709"/>
        <w:contextualSpacing/>
        <w:jc w:val="both"/>
        <w:rPr>
          <w:sz w:val="28"/>
        </w:rPr>
      </w:pPr>
    </w:p>
    <w:p w:rsidR="005A6051" w:rsidRDefault="001218A9">
      <w:pPr>
        <w:numPr>
          <w:ilvl w:val="0"/>
          <w:numId w:val="1"/>
        </w:numPr>
        <w:jc w:val="center"/>
        <w:outlineLvl w:val="1"/>
        <w:rPr>
          <w:sz w:val="28"/>
        </w:rPr>
      </w:pPr>
      <w:r>
        <w:rPr>
          <w:sz w:val="28"/>
        </w:rPr>
        <w:t>Процедура продажи доли в праве собственности на жилые помещения</w:t>
      </w:r>
    </w:p>
    <w:p w:rsidR="005A6051" w:rsidRDefault="001218A9">
      <w:pPr>
        <w:ind w:left="720" w:hanging="360"/>
        <w:jc w:val="center"/>
        <w:outlineLvl w:val="1"/>
        <w:rPr>
          <w:sz w:val="28"/>
        </w:rPr>
      </w:pPr>
      <w:r>
        <w:rPr>
          <w:sz w:val="28"/>
        </w:rPr>
        <w:t xml:space="preserve"> </w:t>
      </w:r>
    </w:p>
    <w:p w:rsidR="005A6051" w:rsidRDefault="001218A9">
      <w:pPr>
        <w:ind w:firstLine="709"/>
        <w:jc w:val="both"/>
        <w:outlineLvl w:val="1"/>
        <w:rPr>
          <w:sz w:val="28"/>
        </w:rPr>
      </w:pPr>
      <w:r>
        <w:rPr>
          <w:sz w:val="28"/>
        </w:rPr>
        <w:t>13. Продажа доли в праве собственности на жилые помещения производится:</w:t>
      </w:r>
    </w:p>
    <w:p w:rsidR="005A6051" w:rsidRDefault="001218A9">
      <w:pPr>
        <w:ind w:firstLine="709"/>
        <w:jc w:val="both"/>
        <w:outlineLvl w:val="1"/>
        <w:rPr>
          <w:sz w:val="28"/>
        </w:rPr>
      </w:pPr>
      <w:r>
        <w:rPr>
          <w:sz w:val="28"/>
        </w:rPr>
        <w:t>1) по инициативе а</w:t>
      </w:r>
      <w:r>
        <w:rPr>
          <w:sz w:val="28"/>
        </w:rPr>
        <w:t>дминистрации города Ставрополя;</w:t>
      </w:r>
    </w:p>
    <w:p w:rsidR="005A6051" w:rsidRDefault="001218A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2)  по заявлению физических и юридических лиц.</w:t>
      </w:r>
    </w:p>
    <w:p w:rsidR="005A6051" w:rsidRDefault="001218A9">
      <w:pPr>
        <w:ind w:firstLine="709"/>
        <w:jc w:val="both"/>
        <w:rPr>
          <w:sz w:val="28"/>
        </w:rPr>
      </w:pPr>
      <w:r>
        <w:rPr>
          <w:sz w:val="28"/>
        </w:rPr>
        <w:t>14. Продажа доли в праве собственности на жилые помещения по инициативе администрации города Ставрополя осуществляется:</w:t>
      </w:r>
    </w:p>
    <w:p w:rsidR="005A6051" w:rsidRDefault="001218A9">
      <w:pPr>
        <w:ind w:firstLine="709"/>
        <w:jc w:val="both"/>
        <w:rPr>
          <w:sz w:val="28"/>
        </w:rPr>
      </w:pPr>
      <w:r>
        <w:rPr>
          <w:sz w:val="28"/>
        </w:rPr>
        <w:t>1) посредством направления Комитетом извещения о намерени</w:t>
      </w:r>
      <w:r>
        <w:rPr>
          <w:sz w:val="28"/>
        </w:rPr>
        <w:t>и продать долю в праве  собственности на жилое помещение  в письменной форме</w:t>
      </w:r>
      <w:r>
        <w:t xml:space="preserve">  </w:t>
      </w:r>
      <w:r>
        <w:rPr>
          <w:sz w:val="28"/>
        </w:rPr>
        <w:t>остальным участникам долевой собственности с указанием цены и других условий, на которых будет осуществлена продажа, а также о дальнейшем размещении в установленном законодательс</w:t>
      </w:r>
      <w:r>
        <w:rPr>
          <w:sz w:val="28"/>
        </w:rPr>
        <w:t xml:space="preserve">твом порядке извещения о проведении аукциона по продаже доли в праве собственности на жилое помещение в отсутствие поступивших заявлений от заинтересованных лиц; </w:t>
      </w:r>
    </w:p>
    <w:p w:rsidR="005A6051" w:rsidRDefault="001218A9">
      <w:pPr>
        <w:ind w:firstLine="709"/>
        <w:jc w:val="both"/>
        <w:rPr>
          <w:sz w:val="28"/>
        </w:rPr>
      </w:pPr>
      <w:r>
        <w:rPr>
          <w:sz w:val="28"/>
        </w:rPr>
        <w:t>2) посредством размещения в установленном законодательством порядке извещения о проведении ау</w:t>
      </w:r>
      <w:r>
        <w:rPr>
          <w:sz w:val="28"/>
        </w:rPr>
        <w:t xml:space="preserve">кциона по продаже доли в праве собственности на жилые помещения. </w:t>
      </w:r>
    </w:p>
    <w:p w:rsidR="005A6051" w:rsidRDefault="001218A9">
      <w:pPr>
        <w:ind w:firstLine="709"/>
        <w:jc w:val="both"/>
        <w:rPr>
          <w:sz w:val="28"/>
        </w:rPr>
      </w:pPr>
      <w:r>
        <w:rPr>
          <w:sz w:val="28"/>
        </w:rPr>
        <w:t>15. Лицо (лица), изъявившее (изъявившие) желание приобрести в собственность (общую долевую собственность) доли в праве собственности на жилые помещения, обращается в Комитет с письменным зая</w:t>
      </w:r>
      <w:r>
        <w:rPr>
          <w:sz w:val="28"/>
        </w:rPr>
        <w:t>влением на имя заместителя главы администрации города Ставрополя, руководителя Комитета. Заявление составляется в произвольной форме и должно содержать следующие сведения:</w:t>
      </w:r>
    </w:p>
    <w:p w:rsidR="005A6051" w:rsidRDefault="001218A9">
      <w:pPr>
        <w:ind w:firstLine="709"/>
        <w:jc w:val="both"/>
        <w:rPr>
          <w:sz w:val="28"/>
        </w:rPr>
      </w:pPr>
      <w:r>
        <w:rPr>
          <w:sz w:val="28"/>
        </w:rPr>
        <w:t>фамилию, имя, отчество (при наличии) гражданина (наименование юридического лица);</w:t>
      </w:r>
    </w:p>
    <w:p w:rsidR="005A6051" w:rsidRDefault="001218A9">
      <w:pPr>
        <w:ind w:firstLine="709"/>
        <w:jc w:val="both"/>
        <w:rPr>
          <w:sz w:val="28"/>
        </w:rPr>
      </w:pPr>
      <w:r>
        <w:rPr>
          <w:sz w:val="28"/>
        </w:rPr>
        <w:t>место постоянного проживания гражданина, адрес местонахождение юридического лица и контактный телефон заявителя (представителя заявителя);</w:t>
      </w:r>
    </w:p>
    <w:p w:rsidR="005A6051" w:rsidRDefault="001218A9">
      <w:pPr>
        <w:ind w:firstLine="709"/>
        <w:jc w:val="both"/>
        <w:rPr>
          <w:sz w:val="28"/>
        </w:rPr>
      </w:pPr>
      <w:r>
        <w:rPr>
          <w:sz w:val="28"/>
        </w:rPr>
        <w:t>информацию о доле в праве собственности на жилые помещения, который заявитель имеет намерение приобрести в собственно</w:t>
      </w:r>
      <w:r>
        <w:rPr>
          <w:sz w:val="28"/>
        </w:rPr>
        <w:t>сть (общую долевую собственность);</w:t>
      </w:r>
    </w:p>
    <w:p w:rsidR="005A6051" w:rsidRDefault="001218A9">
      <w:pPr>
        <w:ind w:firstLine="709"/>
        <w:jc w:val="both"/>
        <w:rPr>
          <w:sz w:val="28"/>
        </w:rPr>
      </w:pPr>
      <w:r>
        <w:rPr>
          <w:sz w:val="28"/>
        </w:rPr>
        <w:t>дату составления заявления и подпись заявителя.</w:t>
      </w:r>
    </w:p>
    <w:p w:rsidR="005A6051" w:rsidRDefault="001218A9">
      <w:pPr>
        <w:ind w:firstLine="709"/>
        <w:jc w:val="both"/>
        <w:rPr>
          <w:sz w:val="28"/>
        </w:rPr>
      </w:pPr>
      <w:r>
        <w:rPr>
          <w:sz w:val="28"/>
        </w:rPr>
        <w:t>16. Вместе с заявлением, указанным в пункте 15 настоящего Положения, заявитель предоставляет копию паспорта (копии учредительных документов и всех изменений к ним, заверенны</w:t>
      </w:r>
      <w:r>
        <w:rPr>
          <w:sz w:val="28"/>
        </w:rPr>
        <w:t>е подписью руководителя юридического лица и печатью (при наличии) - для юридических лиц).</w:t>
      </w:r>
    </w:p>
    <w:p w:rsidR="005A6051" w:rsidRDefault="001218A9">
      <w:pPr>
        <w:ind w:firstLine="709"/>
        <w:jc w:val="both"/>
        <w:rPr>
          <w:sz w:val="28"/>
        </w:rPr>
      </w:pPr>
      <w:r>
        <w:rPr>
          <w:sz w:val="28"/>
        </w:rPr>
        <w:t>В случае подачи заявления представителем физического или юридического лица дополнительно предоставляется документ, подтверждающий полномочия представителя.</w:t>
      </w:r>
    </w:p>
    <w:p w:rsidR="005A6051" w:rsidRDefault="001218A9">
      <w:pPr>
        <w:ind w:firstLine="709"/>
        <w:jc w:val="both"/>
        <w:rPr>
          <w:sz w:val="28"/>
        </w:rPr>
      </w:pPr>
      <w:r>
        <w:rPr>
          <w:sz w:val="28"/>
        </w:rPr>
        <w:t>При подаче</w:t>
      </w:r>
      <w:r>
        <w:rPr>
          <w:sz w:val="28"/>
        </w:rPr>
        <w:t xml:space="preserve"> заявления о покупке  доли в праве собственности на жилое помещение, заявитель, являющийся участником общей долевой собственности на данное жилое помещение и имеющий в силу</w:t>
      </w:r>
      <w:r>
        <w:rPr>
          <w:color w:val="0000FF"/>
          <w:sz w:val="28"/>
        </w:rPr>
        <w:t xml:space="preserve"> статьи</w:t>
      </w:r>
      <w:hyperlink r:id="rId10" w:history="1">
        <w:r>
          <w:rPr>
            <w:color w:val="0000FF"/>
            <w:sz w:val="28"/>
          </w:rPr>
          <w:t xml:space="preserve"> 250</w:t>
        </w:r>
      </w:hyperlink>
      <w:r>
        <w:rPr>
          <w:sz w:val="28"/>
        </w:rPr>
        <w:t xml:space="preserve"> Гражданского кодекса Российской Федерации преимущественное право покупки отчуждаемой доли, предоставляет копию </w:t>
      </w:r>
      <w:r>
        <w:t>д</w:t>
      </w:r>
      <w:r>
        <w:rPr>
          <w:sz w:val="28"/>
        </w:rPr>
        <w:t>окумента, удостоверяющего (устанавливающего) права заяв</w:t>
      </w:r>
      <w:r>
        <w:rPr>
          <w:sz w:val="28"/>
        </w:rPr>
        <w:t>ителя на принадлежащую ему долю в праве общей долевой собственности на данное жилое помещение с предоставлением подлинника, если право на такую долю не зарегистрировано в Едином государственном реестре недвижимости.</w:t>
      </w:r>
    </w:p>
    <w:p w:rsidR="005A6051" w:rsidRDefault="001218A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17. Расходы, связанные с проведением оце</w:t>
      </w:r>
      <w:r>
        <w:rPr>
          <w:sz w:val="28"/>
        </w:rPr>
        <w:t>нки стоимости доли в праве собственности на жилые помещения, подлежащей отчуждению, возлагаются на Комитет. Оплата произведенных работ осуществляется на основании муниципальных контрактов, заключаемых Комитетом с организациями, осуществляющими оценочную де</w:t>
      </w:r>
      <w:r>
        <w:rPr>
          <w:sz w:val="28"/>
        </w:rPr>
        <w:t xml:space="preserve">ятельность в порядке, установленном Федеральным законом от </w:t>
      </w:r>
      <w:r>
        <w:t>05</w:t>
      </w:r>
      <w:r>
        <w:rPr>
          <w:sz w:val="28"/>
        </w:rPr>
        <w:t xml:space="preserve"> апреля 2013 г. № 44-ФЗ</w:t>
      </w:r>
      <w:r>
        <w:t xml:space="preserve"> </w:t>
      </w:r>
      <w:r>
        <w:rPr>
          <w:sz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5A6051" w:rsidRDefault="001218A9">
      <w:pPr>
        <w:spacing w:after="1" w:line="220" w:lineRule="atLeast"/>
        <w:ind w:firstLine="540"/>
        <w:jc w:val="both"/>
        <w:rPr>
          <w:sz w:val="28"/>
        </w:rPr>
      </w:pPr>
      <w:r>
        <w:rPr>
          <w:sz w:val="28"/>
        </w:rPr>
        <w:t>18. Комитет обеспечивает:</w:t>
      </w:r>
    </w:p>
    <w:p w:rsidR="005A6051" w:rsidRDefault="001218A9">
      <w:pPr>
        <w:spacing w:after="1" w:line="220" w:lineRule="atLeast"/>
        <w:ind w:firstLine="540"/>
        <w:jc w:val="both"/>
        <w:rPr>
          <w:sz w:val="28"/>
        </w:rPr>
      </w:pPr>
      <w:r>
        <w:rPr>
          <w:sz w:val="28"/>
        </w:rPr>
        <w:t>1) заключение в тридцатидневн</w:t>
      </w:r>
      <w:r>
        <w:rPr>
          <w:sz w:val="28"/>
        </w:rPr>
        <w:t>ый срок с даты поступления заявления о покупке доли  в праве собственности на жилые помещения, муниципального контракта на проведение оценки рыночной стоимости доли в праве собственности на жилые помещения;</w:t>
      </w:r>
    </w:p>
    <w:p w:rsidR="005A6051" w:rsidRDefault="001218A9">
      <w:pPr>
        <w:spacing w:after="1" w:line="220" w:lineRule="atLeast"/>
        <w:ind w:firstLine="540"/>
        <w:jc w:val="both"/>
        <w:rPr>
          <w:sz w:val="28"/>
        </w:rPr>
      </w:pPr>
      <w:r>
        <w:rPr>
          <w:sz w:val="28"/>
        </w:rPr>
        <w:t>2) не позднее 14 календарных дней со дня принятия</w:t>
      </w:r>
      <w:r>
        <w:rPr>
          <w:sz w:val="28"/>
        </w:rPr>
        <w:t xml:space="preserve"> отчета о рыночной стоимости доли в праве собственности на жилые помещения подготавливает проект постановления администрации города Ставрополя об организации открытого по составу участников аукциона по продаже доли в праве собственности на жилые помещения;</w:t>
      </w:r>
    </w:p>
    <w:p w:rsidR="005A6051" w:rsidRDefault="001218A9">
      <w:pPr>
        <w:spacing w:after="1" w:line="220" w:lineRule="atLeast"/>
        <w:ind w:firstLine="540"/>
        <w:jc w:val="both"/>
        <w:rPr>
          <w:sz w:val="28"/>
        </w:rPr>
      </w:pPr>
      <w:r>
        <w:rPr>
          <w:sz w:val="28"/>
        </w:rPr>
        <w:t>3) в течение 5 дней со дня принятия постановления администрации города Ставрополя об организации аукциона размещает информационное сообщение о проведении аукциона на официальном сайте администрации города Ставрополя, на официальном сайте Российской Федера</w:t>
      </w:r>
      <w:r>
        <w:rPr>
          <w:sz w:val="28"/>
        </w:rPr>
        <w:t xml:space="preserve">ции: </w:t>
      </w:r>
      <w:hyperlink r:id="rId11" w:history="1">
        <w:r>
          <w:rPr>
            <w:sz w:val="28"/>
          </w:rPr>
          <w:t>www.torgi.gov.ru</w:t>
        </w:r>
      </w:hyperlink>
      <w:r>
        <w:rPr>
          <w:sz w:val="28"/>
        </w:rPr>
        <w:t xml:space="preserve"> (далее соответственно – официальный сайт администрации, официальный сайт РФ), а также в официальном печатном издании - газете «Вечерний Ставрополь».</w:t>
      </w:r>
    </w:p>
    <w:p w:rsidR="005A6051" w:rsidRDefault="001218A9">
      <w:pPr>
        <w:spacing w:after="1" w:line="220" w:lineRule="atLeast"/>
        <w:ind w:firstLine="540"/>
        <w:jc w:val="both"/>
        <w:rPr>
          <w:sz w:val="28"/>
        </w:rPr>
      </w:pPr>
      <w:r>
        <w:rPr>
          <w:sz w:val="28"/>
        </w:rPr>
        <w:t>19. В случае подачи только одной заявки на уча</w:t>
      </w:r>
      <w:r>
        <w:rPr>
          <w:sz w:val="28"/>
        </w:rPr>
        <w:t>стие в аукционе  аукцион признается несостоявшимся, а договор купли - продажи заключается с единственным участником по начальной цене продажи.</w:t>
      </w:r>
    </w:p>
    <w:p w:rsidR="005A6051" w:rsidRDefault="001218A9">
      <w:pPr>
        <w:spacing w:after="1" w:line="220" w:lineRule="atLeast"/>
        <w:ind w:firstLine="540"/>
        <w:jc w:val="both"/>
        <w:rPr>
          <w:sz w:val="28"/>
        </w:rPr>
      </w:pPr>
      <w:r>
        <w:rPr>
          <w:sz w:val="28"/>
        </w:rPr>
        <w:t>20. В случае подачи заявок от нескольких претендентов, которые признаны в установленном порядке участниками аукци</w:t>
      </w:r>
      <w:r>
        <w:rPr>
          <w:sz w:val="28"/>
        </w:rPr>
        <w:t>она, цена продаваемой доли в праве собственности на жилые помещения определяется на основании результатов проведения аукциона.</w:t>
      </w:r>
    </w:p>
    <w:p w:rsidR="005A6051" w:rsidRDefault="001218A9">
      <w:pPr>
        <w:spacing w:after="1" w:line="220" w:lineRule="atLeast"/>
        <w:ind w:firstLine="540"/>
        <w:jc w:val="both"/>
        <w:rPr>
          <w:sz w:val="28"/>
        </w:rPr>
      </w:pPr>
      <w:r>
        <w:rPr>
          <w:sz w:val="28"/>
        </w:rPr>
        <w:t xml:space="preserve">21. Стороной договора купли - продажи доли в праве собственности на жилые помещения от имени города Ставрополя выступает Комитет </w:t>
      </w:r>
      <w:r>
        <w:rPr>
          <w:sz w:val="28"/>
        </w:rPr>
        <w:t>в лице заместителя главы администрации города Ставрополя, руководителя Комитета.</w:t>
      </w:r>
    </w:p>
    <w:p w:rsidR="005A6051" w:rsidRDefault="001218A9">
      <w:pPr>
        <w:ind w:firstLine="709"/>
        <w:jc w:val="both"/>
        <w:rPr>
          <w:sz w:val="28"/>
        </w:rPr>
      </w:pPr>
      <w:r>
        <w:rPr>
          <w:sz w:val="28"/>
        </w:rPr>
        <w:t>Договор купли - продажи составляется в экземплярах равных числу сторон и один экземпляр для органа регистрации прав, имеющих равную юридическую силу, заверяется печатью Комите</w:t>
      </w:r>
      <w:r>
        <w:rPr>
          <w:sz w:val="28"/>
        </w:rPr>
        <w:t>та. Первый экземпляр предоставляется лицу (лицам), приобретающему (приобретающим) в собственность (общую долевую собственность) доли в праве собственности на жилые помещения, второй - подлежит постоянному хранению в Комитете, третий - предоставляется в орг</w:t>
      </w:r>
      <w:r>
        <w:rPr>
          <w:sz w:val="28"/>
        </w:rPr>
        <w:t>ан регистрации прав.</w:t>
      </w:r>
    </w:p>
    <w:p w:rsidR="005A6051" w:rsidRDefault="001218A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22. Договор купли-продажи объекта считается заключенным с момента его государственной регистрации.</w:t>
      </w:r>
    </w:p>
    <w:p w:rsidR="005A6051" w:rsidRDefault="001218A9">
      <w:pPr>
        <w:ind w:firstLine="709"/>
        <w:jc w:val="both"/>
        <w:rPr>
          <w:sz w:val="28"/>
        </w:rPr>
      </w:pPr>
      <w:r>
        <w:rPr>
          <w:sz w:val="28"/>
        </w:rPr>
        <w:t>23. Комитет направляет победителю аукциона или единственному принявшему участие в аукционе его участнику, три экземпляра подписанного пр</w:t>
      </w:r>
      <w:r>
        <w:rPr>
          <w:sz w:val="28"/>
        </w:rPr>
        <w:t>оекта договора купли-продажи  в десятидневный срок со дня составления протокола о результатах аукциона. При этом договор купли-продажи  заключается по цене, предложенной победителем аукциона, или в случае заключения указанного договора с единственным приня</w:t>
      </w:r>
      <w:r>
        <w:rPr>
          <w:sz w:val="28"/>
        </w:rPr>
        <w:t>вшим участие в аукционе его участником по начальной цене предмета аукциона. Не допускается заключение договора купли-продажи ранее чем через десять дней со дня размещения информации о результатах аукциона  на официальном сайте администрации, на официальном</w:t>
      </w:r>
      <w:r>
        <w:rPr>
          <w:sz w:val="28"/>
        </w:rPr>
        <w:t xml:space="preserve"> сайте РФ.</w:t>
      </w:r>
    </w:p>
    <w:p w:rsidR="005A6051" w:rsidRDefault="001218A9">
      <w:pPr>
        <w:ind w:firstLine="709"/>
        <w:jc w:val="both"/>
        <w:rPr>
          <w:sz w:val="28"/>
        </w:rPr>
      </w:pPr>
      <w:r>
        <w:rPr>
          <w:sz w:val="28"/>
        </w:rPr>
        <w:t>24. Если проект договора купли-продажи  в течение тридцати дней со дня направления победителю аукциона не был им подписан и представлен в Комитет, организатор аукциона предлагает заключить договор иному участнику аукциона, который сделал предпос</w:t>
      </w:r>
      <w:r>
        <w:rPr>
          <w:sz w:val="28"/>
        </w:rPr>
        <w:t>леднее предложение о цене предмета аукциона, по цене, предложенной победителем аукциона.</w:t>
      </w:r>
    </w:p>
    <w:p w:rsidR="005A6051" w:rsidRDefault="001218A9">
      <w:pPr>
        <w:ind w:firstLine="709"/>
        <w:jc w:val="both"/>
        <w:rPr>
          <w:sz w:val="28"/>
        </w:rPr>
      </w:pPr>
      <w:r>
        <w:rPr>
          <w:sz w:val="28"/>
        </w:rPr>
        <w:t>25.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</w:t>
      </w:r>
      <w:r>
        <w:rPr>
          <w:sz w:val="28"/>
        </w:rPr>
        <w:t>упли-продажи этот участник не представил в Комитет подписанные им договоры, организатор аукциона вправе объявить о проведении повторного аукциона.</w:t>
      </w:r>
    </w:p>
    <w:p w:rsidR="005A6051" w:rsidRDefault="001218A9">
      <w:pPr>
        <w:ind w:firstLine="709"/>
        <w:jc w:val="both"/>
        <w:rPr>
          <w:sz w:val="28"/>
          <w:shd w:val="clear" w:color="auto" w:fill="92FF99"/>
        </w:rPr>
      </w:pPr>
      <w:r>
        <w:rPr>
          <w:sz w:val="28"/>
        </w:rPr>
        <w:t xml:space="preserve">26. Порядок заключения договора купли-продажи доли в праве собственности  на жилое помещение участнику общей </w:t>
      </w:r>
      <w:r>
        <w:rPr>
          <w:sz w:val="28"/>
        </w:rPr>
        <w:t>долевой собственности на данное жилое помещение, имеющему в силу</w:t>
      </w:r>
      <w:r>
        <w:rPr>
          <w:color w:val="0000FF"/>
          <w:sz w:val="28"/>
        </w:rPr>
        <w:t xml:space="preserve"> статьи</w:t>
      </w:r>
      <w:hyperlink r:id="rId12" w:history="1">
        <w:r>
          <w:rPr>
            <w:color w:val="0000FF"/>
            <w:sz w:val="28"/>
          </w:rPr>
          <w:t xml:space="preserve"> 250</w:t>
        </w:r>
      </w:hyperlink>
      <w:r>
        <w:rPr>
          <w:sz w:val="28"/>
        </w:rPr>
        <w:t xml:space="preserve"> Гражданского кодекс</w:t>
      </w:r>
      <w:r>
        <w:rPr>
          <w:sz w:val="28"/>
        </w:rPr>
        <w:t>а Российской Федерации преимущественное право покупки отчуждаемой доли, при условии наличия письменных отказов от всех остальных участников общей долевой собственности  данного жилого помещения от покупки указанной доли в праве собственности на жилое помещ</w:t>
      </w:r>
      <w:r>
        <w:rPr>
          <w:sz w:val="28"/>
        </w:rPr>
        <w:t>ение осуществляется в соответствии с пунктами 31, 32 настоящего Положения.</w:t>
      </w:r>
    </w:p>
    <w:p w:rsidR="005A6051" w:rsidRDefault="005A6051">
      <w:pPr>
        <w:spacing w:after="1" w:line="220" w:lineRule="atLeast"/>
        <w:jc w:val="both"/>
      </w:pPr>
    </w:p>
    <w:p w:rsidR="005A6051" w:rsidRDefault="005A6051">
      <w:pPr>
        <w:spacing w:after="1"/>
        <w:ind w:firstLine="567"/>
        <w:jc w:val="both"/>
        <w:rPr>
          <w:sz w:val="28"/>
        </w:rPr>
      </w:pPr>
    </w:p>
    <w:p w:rsidR="005A6051" w:rsidRDefault="001218A9">
      <w:pPr>
        <w:spacing w:line="240" w:lineRule="exact"/>
        <w:jc w:val="center"/>
        <w:outlineLvl w:val="1"/>
        <w:rPr>
          <w:sz w:val="28"/>
          <w:shd w:val="clear" w:color="auto" w:fill="92FF99"/>
        </w:rPr>
      </w:pPr>
      <w:r>
        <w:rPr>
          <w:sz w:val="28"/>
        </w:rPr>
        <w:t>III. Особенности продажи доли в праве  собственности на жилые помещения  без проведения торгов</w:t>
      </w:r>
    </w:p>
    <w:p w:rsidR="005A6051" w:rsidRDefault="005A6051">
      <w:pPr>
        <w:ind w:firstLine="709"/>
        <w:jc w:val="both"/>
        <w:rPr>
          <w:sz w:val="28"/>
          <w:shd w:val="clear" w:color="auto" w:fill="92FF99"/>
        </w:rPr>
      </w:pPr>
    </w:p>
    <w:p w:rsidR="005A6051" w:rsidRDefault="001218A9">
      <w:pPr>
        <w:ind w:firstLine="709"/>
        <w:jc w:val="both"/>
        <w:rPr>
          <w:sz w:val="28"/>
        </w:rPr>
      </w:pPr>
      <w:r>
        <w:rPr>
          <w:sz w:val="28"/>
        </w:rPr>
        <w:t xml:space="preserve">27. Продажа долей в праве собственности на жилые помещения производится с соблюдением требований </w:t>
      </w:r>
      <w:hyperlink r:id="rId13" w:history="1">
        <w:r>
          <w:rPr>
            <w:color w:val="0000FF"/>
            <w:sz w:val="28"/>
          </w:rPr>
          <w:t>с</w:t>
        </w:r>
        <w:r>
          <w:rPr>
            <w:color w:val="0000FF"/>
            <w:sz w:val="28"/>
          </w:rPr>
          <w:t>татьи 250</w:t>
        </w:r>
      </w:hyperlink>
      <w:r>
        <w:rPr>
          <w:sz w:val="28"/>
        </w:rPr>
        <w:t xml:space="preserve"> Гражданского кодекса Российской Федерации о преимущественном праве покупки. Продажа доли в праве собственности на жилые помещения другому участнику общей долевой собственности на данное жилое помещение производится без проведения аукциона по р</w:t>
      </w:r>
      <w:r>
        <w:rPr>
          <w:sz w:val="28"/>
        </w:rPr>
        <w:t>ыночной стоимости, при условии наличия письменных отказов от всех остальных участников общей долевой собственности на данное жилое помещение от покупки указанной доли в праве.</w:t>
      </w:r>
    </w:p>
    <w:p w:rsidR="005A6051" w:rsidRDefault="001218A9">
      <w:pPr>
        <w:ind w:left="709"/>
        <w:rPr>
          <w:sz w:val="28"/>
        </w:rPr>
      </w:pPr>
      <w:r>
        <w:rPr>
          <w:sz w:val="28"/>
        </w:rPr>
        <w:t>Уступка преимущественного права покупки доли не допускается.</w:t>
      </w:r>
    </w:p>
    <w:p w:rsidR="005A6051" w:rsidRDefault="001218A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28. При наличии сог</w:t>
      </w:r>
      <w:r>
        <w:rPr>
          <w:sz w:val="28"/>
        </w:rPr>
        <w:t>ласия на покупку доли в праве собственности на жилое помещение от всех участников долевой собственности, указанная доля может быть продана без проведения аукциона путем ее раздела между участниками в равных частях.</w:t>
      </w:r>
    </w:p>
    <w:p w:rsidR="005A6051" w:rsidRDefault="001218A9">
      <w:pPr>
        <w:ind w:firstLine="709"/>
        <w:jc w:val="both"/>
        <w:rPr>
          <w:sz w:val="28"/>
          <w:shd w:val="clear" w:color="auto" w:fill="92FF99"/>
        </w:rPr>
      </w:pPr>
      <w:r>
        <w:rPr>
          <w:sz w:val="28"/>
        </w:rPr>
        <w:t xml:space="preserve">29. При наличии письменных отказов  всех </w:t>
      </w:r>
      <w:r>
        <w:rPr>
          <w:sz w:val="28"/>
        </w:rPr>
        <w:t xml:space="preserve">участников общей долевой собственности от приобретения доли  в праве собственности на жилое помещение, в том числе письменных отказов от приобретения доли в праве  собственности на жилое помещение на условиях, установленных в пункте 27 настоящего Порядка  </w:t>
      </w:r>
      <w:r>
        <w:rPr>
          <w:sz w:val="28"/>
        </w:rPr>
        <w:t xml:space="preserve">либо </w:t>
      </w:r>
      <w:r>
        <w:t xml:space="preserve"> </w:t>
      </w:r>
      <w:r>
        <w:rPr>
          <w:sz w:val="28"/>
        </w:rPr>
        <w:t>несообщения о намерении приобрести долю в праве собственности на жилое помещение в течение месяца с даты получения направленного Комитетом извещения о намерении продать долю в праве собственности на жилое помещение, продажа доли осуществляется  путем</w:t>
      </w:r>
      <w:r>
        <w:rPr>
          <w:sz w:val="28"/>
        </w:rPr>
        <w:t xml:space="preserve"> проведения аукциона.</w:t>
      </w:r>
    </w:p>
    <w:p w:rsidR="005A6051" w:rsidRDefault="001218A9">
      <w:pPr>
        <w:ind w:firstLine="709"/>
        <w:jc w:val="both"/>
        <w:rPr>
          <w:sz w:val="28"/>
        </w:rPr>
      </w:pPr>
      <w:r>
        <w:rPr>
          <w:sz w:val="28"/>
        </w:rPr>
        <w:t>30. Комитет направляет Покупателю (Покупателям) доли в праве собственности на жилые помещения все экземпляры подписанного проекта договора купли-продажи  в десятидневный срок со дня вынесения постановления администрации города Ставроп</w:t>
      </w:r>
      <w:r>
        <w:rPr>
          <w:sz w:val="28"/>
        </w:rPr>
        <w:t>оля о продаже доли в праве собственности на жилые помещения без проведения торгов.</w:t>
      </w:r>
    </w:p>
    <w:p w:rsidR="005A6051" w:rsidRDefault="001218A9">
      <w:pPr>
        <w:ind w:firstLine="709"/>
        <w:contextualSpacing/>
        <w:jc w:val="both"/>
        <w:rPr>
          <w:sz w:val="28"/>
        </w:rPr>
      </w:pPr>
      <w:r>
        <w:rPr>
          <w:sz w:val="28"/>
        </w:rPr>
        <w:t>31. Покупатель признается отказавшимся от приобретения доли в праве   собственности на жилое помещение в случаях:</w:t>
      </w:r>
    </w:p>
    <w:p w:rsidR="005A6051" w:rsidRDefault="001218A9">
      <w:pPr>
        <w:ind w:firstLine="709"/>
        <w:contextualSpacing/>
        <w:jc w:val="both"/>
        <w:rPr>
          <w:sz w:val="28"/>
        </w:rPr>
      </w:pPr>
      <w:r>
        <w:rPr>
          <w:sz w:val="28"/>
        </w:rPr>
        <w:t>1) направления в адрес Комитета письменного отказа от приоб</w:t>
      </w:r>
      <w:r>
        <w:rPr>
          <w:sz w:val="28"/>
        </w:rPr>
        <w:t>ретения  доли в праве  собственности на жилое помещение по цене, указанной в отчете об оценке, в соответствии с пунктом 17 настоящего Положения;</w:t>
      </w:r>
    </w:p>
    <w:p w:rsidR="005A6051" w:rsidRDefault="001218A9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2) направления в адрес Комитета письма с отказом от подписания договора купли – продажи; </w:t>
      </w:r>
    </w:p>
    <w:p w:rsidR="005A6051" w:rsidRDefault="001218A9">
      <w:pPr>
        <w:ind w:firstLine="709"/>
        <w:contextualSpacing/>
        <w:jc w:val="both"/>
        <w:rPr>
          <w:sz w:val="28"/>
        </w:rPr>
      </w:pPr>
      <w:r>
        <w:rPr>
          <w:sz w:val="28"/>
        </w:rPr>
        <w:t>3) неподписания догов</w:t>
      </w:r>
      <w:r>
        <w:rPr>
          <w:sz w:val="28"/>
        </w:rPr>
        <w:t>ора купли-продажи в срок, установленный пунктом 24 настоящего Положения.</w:t>
      </w:r>
    </w:p>
    <w:p w:rsidR="005A6051" w:rsidRDefault="001218A9">
      <w:pPr>
        <w:ind w:firstLine="709"/>
        <w:contextualSpacing/>
        <w:jc w:val="both"/>
        <w:rPr>
          <w:sz w:val="28"/>
        </w:rPr>
      </w:pPr>
      <w:r>
        <w:rPr>
          <w:sz w:val="28"/>
        </w:rPr>
        <w:t>32. В случае отказа покупателя от приобретения доли в праве собственности по основаниям, предусмотренным пунктом 31 настоящего Положения, продажа доли в праве собственности осуществля</w:t>
      </w:r>
      <w:r>
        <w:rPr>
          <w:sz w:val="28"/>
        </w:rPr>
        <w:t>ется любым другим лицам путем проведения аукциона.</w:t>
      </w:r>
    </w:p>
    <w:p w:rsidR="005A6051" w:rsidRDefault="005A6051">
      <w:pPr>
        <w:ind w:firstLine="709"/>
        <w:jc w:val="both"/>
        <w:rPr>
          <w:sz w:val="28"/>
        </w:rPr>
      </w:pPr>
    </w:p>
    <w:p w:rsidR="005A6051" w:rsidRDefault="005A6051">
      <w:pPr>
        <w:widowControl w:val="0"/>
        <w:jc w:val="both"/>
        <w:rPr>
          <w:sz w:val="28"/>
        </w:rPr>
      </w:pPr>
    </w:p>
    <w:p w:rsidR="005A6051" w:rsidRDefault="001218A9">
      <w:pPr>
        <w:contextualSpacing/>
        <w:jc w:val="center"/>
        <w:rPr>
          <w:sz w:val="28"/>
        </w:rPr>
      </w:pPr>
      <w:r>
        <w:rPr>
          <w:sz w:val="28"/>
        </w:rPr>
        <w:t>___________</w:t>
      </w:r>
    </w:p>
    <w:p w:rsidR="005A6051" w:rsidRDefault="005A6051">
      <w:pPr>
        <w:contextualSpacing/>
        <w:jc w:val="center"/>
        <w:rPr>
          <w:sz w:val="28"/>
        </w:rPr>
      </w:pPr>
    </w:p>
    <w:p w:rsidR="005A6051" w:rsidRDefault="005A6051">
      <w:pPr>
        <w:contextualSpacing/>
        <w:jc w:val="both"/>
        <w:rPr>
          <w:sz w:val="28"/>
        </w:rPr>
      </w:pPr>
    </w:p>
    <w:p w:rsidR="005A6051" w:rsidRDefault="005A6051">
      <w:pPr>
        <w:contextualSpacing/>
        <w:jc w:val="both"/>
        <w:rPr>
          <w:sz w:val="28"/>
        </w:rPr>
      </w:pPr>
    </w:p>
    <w:p w:rsidR="005A6051" w:rsidRDefault="005A6051">
      <w:pPr>
        <w:contextualSpacing/>
        <w:jc w:val="both"/>
        <w:rPr>
          <w:sz w:val="28"/>
        </w:rPr>
      </w:pPr>
    </w:p>
    <w:p w:rsidR="005A6051" w:rsidRDefault="005A6051">
      <w:pPr>
        <w:contextualSpacing/>
        <w:rPr>
          <w:sz w:val="28"/>
        </w:rPr>
      </w:pPr>
    </w:p>
    <w:p w:rsidR="008D77EA" w:rsidRDefault="008D77EA">
      <w:pPr>
        <w:contextualSpacing/>
        <w:rPr>
          <w:sz w:val="28"/>
        </w:rPr>
      </w:pPr>
    </w:p>
    <w:p w:rsidR="008D77EA" w:rsidRDefault="008D77EA">
      <w:pPr>
        <w:contextualSpacing/>
        <w:rPr>
          <w:sz w:val="28"/>
        </w:rPr>
      </w:pPr>
    </w:p>
    <w:p w:rsidR="008D77EA" w:rsidRDefault="008D77EA">
      <w:pPr>
        <w:contextualSpacing/>
        <w:rPr>
          <w:sz w:val="28"/>
        </w:rPr>
      </w:pPr>
    </w:p>
    <w:p w:rsidR="008D77EA" w:rsidRDefault="008D77EA">
      <w:pPr>
        <w:contextualSpacing/>
        <w:rPr>
          <w:sz w:val="28"/>
        </w:rPr>
      </w:pPr>
    </w:p>
    <w:p w:rsidR="008D77EA" w:rsidRDefault="008D77EA">
      <w:pPr>
        <w:contextualSpacing/>
        <w:rPr>
          <w:sz w:val="28"/>
        </w:rPr>
      </w:pPr>
    </w:p>
    <w:p w:rsidR="008D77EA" w:rsidRDefault="008D77EA">
      <w:pPr>
        <w:contextualSpacing/>
        <w:rPr>
          <w:sz w:val="28"/>
        </w:rPr>
      </w:pPr>
    </w:p>
    <w:p w:rsidR="008D77EA" w:rsidRDefault="008D77EA" w:rsidP="008D77EA">
      <w:pPr>
        <w:pStyle w:val="aff"/>
        <w:rPr>
          <w:color w:val="FFFFFF" w:themeColor="background1"/>
        </w:rPr>
      </w:pPr>
    </w:p>
    <w:p w:rsidR="008D77EA" w:rsidRDefault="008D77EA" w:rsidP="008D77EA">
      <w:pPr>
        <w:jc w:val="center"/>
        <w:rPr>
          <w:color w:val="FFFFFF" w:themeColor="background1"/>
          <w:spacing w:val="30"/>
          <w:sz w:val="32"/>
        </w:rPr>
      </w:pPr>
      <w:r>
        <w:rPr>
          <w:color w:val="FFFFFF" w:themeColor="background1"/>
          <w:spacing w:val="30"/>
          <w:sz w:val="32"/>
        </w:rPr>
        <w:t>АДМИНИСТРАЦИИ ГОРОДА СТАВРОПОЛЯ</w:t>
      </w:r>
    </w:p>
    <w:p w:rsidR="008D77EA" w:rsidRDefault="008D77EA" w:rsidP="008D77EA">
      <w:pPr>
        <w:jc w:val="center"/>
        <w:rPr>
          <w:color w:val="FFFFFF" w:themeColor="background1"/>
          <w:spacing w:val="30"/>
          <w:sz w:val="32"/>
        </w:rPr>
      </w:pPr>
      <w:r>
        <w:rPr>
          <w:color w:val="FFFFFF" w:themeColor="background1"/>
          <w:spacing w:val="30"/>
          <w:sz w:val="32"/>
        </w:rPr>
        <w:t>СТАВРОПОЛЬСКОГО КРАЯ</w:t>
      </w:r>
    </w:p>
    <w:p w:rsidR="008D77EA" w:rsidRDefault="008D77EA" w:rsidP="008D77EA">
      <w:pPr>
        <w:jc w:val="both"/>
        <w:rPr>
          <w:color w:val="FFFFFF" w:themeColor="background1"/>
          <w:spacing w:val="30"/>
          <w:sz w:val="32"/>
        </w:rPr>
      </w:pPr>
    </w:p>
    <w:p w:rsidR="008D77EA" w:rsidRDefault="008D77EA" w:rsidP="008D77EA">
      <w:pPr>
        <w:jc w:val="both"/>
        <w:rPr>
          <w:color w:val="FFFFFF" w:themeColor="background1"/>
          <w:spacing w:val="30"/>
          <w:sz w:val="32"/>
        </w:rPr>
      </w:pPr>
      <w:r>
        <w:rPr>
          <w:color w:val="FFFFFF" w:themeColor="background1"/>
          <w:spacing w:val="30"/>
          <w:sz w:val="32"/>
        </w:rPr>
        <w:t xml:space="preserve">27.03.2020                     г. Ставрополь                  № 448 </w:t>
      </w:r>
    </w:p>
    <w:p w:rsidR="008D77EA" w:rsidRDefault="008D77EA" w:rsidP="008D77EA">
      <w:pPr>
        <w:pStyle w:val="ConsPlusNormal"/>
        <w:widowControl w:val="0"/>
        <w:tabs>
          <w:tab w:val="left" w:pos="360"/>
        </w:tabs>
        <w:spacing w:line="240" w:lineRule="exact"/>
        <w:jc w:val="both"/>
        <w:outlineLvl w:val="0"/>
        <w:rPr>
          <w:rFonts w:ascii="Times New Roman" w:hAnsi="Times New Roman"/>
          <w:color w:val="FFFFFF" w:themeColor="background1"/>
          <w:sz w:val="28"/>
        </w:rPr>
      </w:pPr>
    </w:p>
    <w:p w:rsidR="008D77EA" w:rsidRDefault="008D77EA" w:rsidP="008D77EA">
      <w:pPr>
        <w:pStyle w:val="ConsPlusNormal"/>
        <w:widowControl w:val="0"/>
        <w:tabs>
          <w:tab w:val="left" w:pos="360"/>
        </w:tabs>
        <w:spacing w:line="240" w:lineRule="exact"/>
        <w:jc w:val="both"/>
        <w:outlineLvl w:val="0"/>
        <w:rPr>
          <w:rFonts w:ascii="Times New Roman" w:hAnsi="Times New Roman"/>
          <w:sz w:val="28"/>
        </w:rPr>
      </w:pPr>
    </w:p>
    <w:p w:rsidR="008D77EA" w:rsidRDefault="008D77EA" w:rsidP="008D77EA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>Об утверждении Положения о порядке и условиях продажи долей, принадлежащих муниципальному образованию городу Ставрополю Ставропольского края в праве общей долевой собственности на жилые помещения</w:t>
      </w:r>
    </w:p>
    <w:p w:rsidR="008D77EA" w:rsidRDefault="008D77EA" w:rsidP="008D77EA">
      <w:pPr>
        <w:widowControl w:val="0"/>
        <w:spacing w:line="240" w:lineRule="exact"/>
        <w:jc w:val="both"/>
        <w:rPr>
          <w:sz w:val="28"/>
        </w:rPr>
      </w:pPr>
    </w:p>
    <w:p w:rsidR="008D77EA" w:rsidRDefault="008D77EA" w:rsidP="008D77EA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Гражданским </w:t>
      </w:r>
      <w:hyperlink r:id="rId14" w:history="1">
        <w:r>
          <w:rPr>
            <w:color w:val="0000FF"/>
            <w:sz w:val="28"/>
          </w:rPr>
          <w:t>кодексом</w:t>
        </w:r>
      </w:hyperlink>
      <w:r>
        <w:rPr>
          <w:sz w:val="28"/>
        </w:rPr>
        <w:t xml:space="preserve"> Российской Федерации,  федеральными законами от 29 июля 1998 г. № 135-ФЗ «Об оценочной деятельности в Российской Федерации», от 06 октября 2003 г. № 131-ФЗ «Об общих принципах организации местного самоуправления в Российской Федерации», решением Ставропольской городской Думы от </w:t>
      </w:r>
      <w:r>
        <w:t xml:space="preserve"> </w:t>
      </w:r>
      <w:r>
        <w:rPr>
          <w:sz w:val="28"/>
        </w:rPr>
        <w:t xml:space="preserve">28 мая 2014 г.        № 513 «Об утверждении Положения о порядке управления и распоряжения имуществом, находящимся в муниципальной собственности муниципального образования города Ставрополя Ставропольского края», Уставом муниципального образования города Ставрополя Ставропольского края </w:t>
      </w:r>
    </w:p>
    <w:p w:rsidR="008D77EA" w:rsidRDefault="008D77EA" w:rsidP="008D77EA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/>
          <w:sz w:val="28"/>
        </w:rPr>
      </w:pPr>
    </w:p>
    <w:p w:rsidR="008D77EA" w:rsidRDefault="008D77EA" w:rsidP="008D77EA">
      <w:pPr>
        <w:pStyle w:val="ConsPlusNormal"/>
        <w:widowControl w:val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8D77EA" w:rsidRDefault="008D77EA" w:rsidP="008D77EA">
      <w:pPr>
        <w:pStyle w:val="ConsPlusNormal"/>
        <w:widowControl w:val="0"/>
        <w:spacing w:line="240" w:lineRule="exact"/>
        <w:ind w:firstLine="539"/>
        <w:jc w:val="both"/>
        <w:outlineLvl w:val="0"/>
        <w:rPr>
          <w:rFonts w:ascii="Times New Roman" w:hAnsi="Times New Roman"/>
          <w:sz w:val="28"/>
        </w:rPr>
      </w:pPr>
    </w:p>
    <w:p w:rsidR="008D77EA" w:rsidRDefault="008D77EA" w:rsidP="008D77EA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1. Утвердить прилагаемое Положение о порядке и условиях продажи долей, принадлежащих муниципальному образованию городу Ставрополю Ставропольского края в праве общей долевой собственности на жилые помещения.</w:t>
      </w:r>
    </w:p>
    <w:p w:rsidR="008D77EA" w:rsidRDefault="008D77EA" w:rsidP="008D77EA">
      <w:pPr>
        <w:ind w:firstLine="708"/>
        <w:jc w:val="both"/>
        <w:rPr>
          <w:sz w:val="28"/>
        </w:rPr>
      </w:pPr>
      <w:r>
        <w:rPr>
          <w:sz w:val="28"/>
        </w:rPr>
        <w:t>2. 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 </w:t>
      </w:r>
    </w:p>
    <w:p w:rsidR="008D77EA" w:rsidRDefault="008D77EA" w:rsidP="008D77EA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D77EA" w:rsidRDefault="008D77EA" w:rsidP="008D77EA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4. Контроль исполнения настоящего постановления возложить </w:t>
      </w:r>
      <w:r>
        <w:rPr>
          <w:sz w:val="28"/>
        </w:rPr>
        <w:br/>
        <w:t>на первого заместителя главы администрации города Ставрополя       Грибенника А.Д.</w:t>
      </w:r>
    </w:p>
    <w:p w:rsidR="008D77EA" w:rsidRDefault="008D77EA" w:rsidP="008D77EA">
      <w:pPr>
        <w:widowControl w:val="0"/>
        <w:jc w:val="both"/>
        <w:rPr>
          <w:sz w:val="28"/>
        </w:rPr>
      </w:pPr>
    </w:p>
    <w:p w:rsidR="008D77EA" w:rsidRDefault="008D77EA" w:rsidP="008D77EA">
      <w:pPr>
        <w:widowControl w:val="0"/>
        <w:jc w:val="both"/>
        <w:rPr>
          <w:sz w:val="28"/>
        </w:rPr>
      </w:pPr>
    </w:p>
    <w:p w:rsidR="008D77EA" w:rsidRDefault="008D77EA" w:rsidP="008D77EA">
      <w:pPr>
        <w:widowControl w:val="0"/>
        <w:spacing w:line="240" w:lineRule="exact"/>
        <w:contextualSpacing/>
        <w:jc w:val="both"/>
        <w:rPr>
          <w:sz w:val="28"/>
        </w:rPr>
      </w:pPr>
    </w:p>
    <w:p w:rsidR="008D77EA" w:rsidRDefault="008D77EA" w:rsidP="008D77EA">
      <w:pPr>
        <w:widowControl w:val="0"/>
        <w:spacing w:line="240" w:lineRule="exact"/>
        <w:contextualSpacing/>
        <w:jc w:val="both"/>
        <w:rPr>
          <w:sz w:val="28"/>
        </w:rPr>
      </w:pPr>
      <w:r>
        <w:rPr>
          <w:sz w:val="28"/>
        </w:rPr>
        <w:t>Глава города Ставрополя                                                             И.И. Ульянченко</w:t>
      </w:r>
    </w:p>
    <w:p w:rsidR="008D77EA" w:rsidRDefault="008D77EA">
      <w:pPr>
        <w:contextualSpacing/>
        <w:rPr>
          <w:sz w:val="28"/>
        </w:rPr>
      </w:pPr>
      <w:bookmarkStart w:id="0" w:name="_GoBack"/>
      <w:bookmarkEnd w:id="0"/>
    </w:p>
    <w:sectPr w:rsidR="008D77EA">
      <w:headerReference w:type="default" r:id="rId15"/>
      <w:pgSz w:w="11906" w:h="16838"/>
      <w:pgMar w:top="1134" w:right="567" w:bottom="1134" w:left="1985" w:header="708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8A9" w:rsidRDefault="001218A9">
      <w:r>
        <w:separator/>
      </w:r>
    </w:p>
  </w:endnote>
  <w:endnote w:type="continuationSeparator" w:id="0">
    <w:p w:rsidR="001218A9" w:rsidRDefault="0012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8A9" w:rsidRDefault="001218A9">
      <w:r>
        <w:separator/>
      </w:r>
    </w:p>
  </w:footnote>
  <w:footnote w:type="continuationSeparator" w:id="0">
    <w:p w:rsidR="001218A9" w:rsidRDefault="00121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51" w:rsidRDefault="001218A9">
    <w:pPr>
      <w:pStyle w:val="a6"/>
      <w:jc w:val="center"/>
      <w:rPr>
        <w:sz w:val="44"/>
      </w:rPr>
    </w:pPr>
    <w:r>
      <w:rPr>
        <w:noProof/>
        <w:sz w:val="44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88595"/>
              <wp:effectExtent l="0" t="0" r="0" b="0"/>
              <wp:wrapTopAndBottom distT="0" distB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885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5A6051" w:rsidRDefault="005A6051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0;margin-top:.05pt;width:1.15pt;height:14.85pt;z-index:-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" filled="f" stroked="f" strokeweight="0">
              <v:textbox style="mso-fit-shape-to-text:t" inset="0,0,0,0">
                <w:txbxContent>
                  <w:p w:rsidR="005A6051" w:rsidRDefault="005A6051"/>
                </w:txbxContent>
              </v:textbox>
              <w10:wrap type="topAndBottom" anchorx="margin"/>
            </v:rect>
          </w:pict>
        </mc:Fallback>
      </mc:AlternateContent>
    </w: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8D77EA">
      <w:rPr>
        <w:noProof/>
        <w:sz w:val="28"/>
      </w:rPr>
      <w:t>3</w:t>
    </w:r>
    <w:r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655B1"/>
    <w:multiLevelType w:val="multilevel"/>
    <w:tmpl w:val="388001AE"/>
    <w:lvl w:ilvl="0">
      <w:start w:val="1"/>
      <w:numFmt w:val="upperRoman"/>
      <w:lvlText w:val="%1."/>
      <w:lvlJc w:val="righ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" w15:restartNumberingAfterBreak="0">
    <w:nsid w:val="77F96324"/>
    <w:multiLevelType w:val="multilevel"/>
    <w:tmpl w:val="580C477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51"/>
    <w:rsid w:val="001218A9"/>
    <w:rsid w:val="005A6051"/>
    <w:rsid w:val="008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5D678-B7E1-47A0-918C-4A6EBFD7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12">
    <w:name w:val="Название объекта1"/>
    <w:rPr>
      <w:i/>
      <w:sz w:val="24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character" w:customStyle="1" w:styleId="31">
    <w:name w:val="Заголовок 31"/>
    <w:rPr>
      <w:rFonts w:ascii="XO Thames" w:hAnsi="XO Thames"/>
      <w:b/>
      <w:color w:val="000000"/>
      <w:spacing w:val="0"/>
      <w:sz w:val="26"/>
    </w:rPr>
  </w:style>
  <w:style w:type="paragraph" w:customStyle="1" w:styleId="13">
    <w:name w:val="Знак примечания1"/>
    <w:link w:val="a5"/>
    <w:rPr>
      <w:sz w:val="16"/>
    </w:rPr>
  </w:style>
  <w:style w:type="character" w:styleId="a5">
    <w:name w:val="annotation reference"/>
    <w:link w:val="13"/>
    <w:rPr>
      <w:rFonts w:ascii="Calibri" w:hAnsi="Calibri"/>
      <w:color w:val="000000"/>
      <w:spacing w:val="0"/>
      <w:sz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1"/>
  </w:style>
  <w:style w:type="paragraph" w:customStyle="1" w:styleId="15">
    <w:name w:val="Основной шрифт абзаца1"/>
    <w:link w:val="4"/>
  </w:style>
  <w:style w:type="character" w:customStyle="1" w:styleId="410">
    <w:name w:val="Заголовок 41"/>
    <w:rPr>
      <w:rFonts w:ascii="XO Thames" w:hAnsi="XO Thames"/>
      <w:b/>
      <w:color w:val="000000"/>
      <w:spacing w:val="0"/>
      <w:sz w:val="24"/>
    </w:rPr>
  </w:style>
  <w:style w:type="paragraph" w:styleId="a8">
    <w:name w:val="annotation text"/>
    <w:basedOn w:val="a"/>
    <w:link w:val="a9"/>
    <w:rPr>
      <w:sz w:val="20"/>
    </w:rPr>
  </w:style>
  <w:style w:type="character" w:customStyle="1" w:styleId="a9">
    <w:name w:val="Текст примечания Знак"/>
    <w:basedOn w:val="1"/>
    <w:link w:val="a8"/>
    <w:rPr>
      <w:rFonts w:ascii="Times New Roman" w:hAnsi="Times New Roman"/>
      <w:color w:val="000000"/>
      <w:spacing w:val="0"/>
      <w:sz w:val="20"/>
    </w:rPr>
  </w:style>
  <w:style w:type="character" w:customStyle="1" w:styleId="210">
    <w:name w:val="Заголовок 21"/>
    <w:rPr>
      <w:rFonts w:ascii="XO Thames" w:hAnsi="XO Thames"/>
      <w:b/>
      <w:color w:val="000000"/>
      <w:spacing w:val="0"/>
      <w:sz w:val="28"/>
    </w:rPr>
  </w:style>
  <w:style w:type="paragraph" w:styleId="aa">
    <w:name w:val="Balloon Text"/>
    <w:basedOn w:val="a"/>
    <w:link w:val="ab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color w:val="000000"/>
      <w:spacing w:val="0"/>
      <w:sz w:val="1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pacing w:val="0"/>
      <w:sz w:val="20"/>
    </w:rPr>
  </w:style>
  <w:style w:type="paragraph" w:customStyle="1" w:styleId="ac">
    <w:name w:val="Колонтитул"/>
    <w:link w:val="ad"/>
    <w:rPr>
      <w:rFonts w:ascii="XO Thames" w:hAnsi="XO Thames"/>
    </w:rPr>
  </w:style>
  <w:style w:type="character" w:customStyle="1" w:styleId="ad">
    <w:name w:val="Колонтитул"/>
    <w:link w:val="ac"/>
    <w:rPr>
      <w:rFonts w:ascii="XO Thames" w:hAnsi="XO Thames"/>
      <w:color w:val="000000"/>
      <w:spacing w:val="0"/>
      <w:sz w:val="2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styleId="ae">
    <w:name w:val="List"/>
    <w:basedOn w:val="af"/>
    <w:link w:val="af0"/>
  </w:style>
  <w:style w:type="character" w:customStyle="1" w:styleId="16">
    <w:name w:val="Список1"/>
    <w:basedOn w:val="af1"/>
    <w:rPr>
      <w:rFonts w:ascii="Times New Roman" w:hAnsi="Times New Roman"/>
      <w:color w:val="000000"/>
      <w:spacing w:val="0"/>
      <w:sz w:val="26"/>
    </w:rPr>
  </w:style>
  <w:style w:type="paragraph" w:customStyle="1" w:styleId="af2">
    <w:name w:val="Заголовок"/>
    <w:basedOn w:val="a"/>
    <w:next w:val="af"/>
    <w:link w:val="af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3">
    <w:name w:val="Заголовок"/>
    <w:basedOn w:val="1"/>
    <w:link w:val="af2"/>
    <w:rPr>
      <w:rFonts w:ascii="Liberation Sans" w:hAnsi="Liberation Sans"/>
      <w:color w:val="000000"/>
      <w:spacing w:val="0"/>
      <w:sz w:val="28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styleId="af">
    <w:name w:val="Body Text"/>
    <w:basedOn w:val="a"/>
    <w:link w:val="af1"/>
    <w:pPr>
      <w:spacing w:after="140" w:line="276" w:lineRule="auto"/>
    </w:pPr>
  </w:style>
  <w:style w:type="character" w:customStyle="1" w:styleId="af1">
    <w:name w:val="Основной текст Знак"/>
    <w:basedOn w:val="1"/>
    <w:link w:val="af"/>
    <w:rPr>
      <w:rFonts w:ascii="Times New Roman" w:hAnsi="Times New Roman"/>
      <w:color w:val="000000"/>
      <w:spacing w:val="0"/>
      <w:sz w:val="26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customStyle="1" w:styleId="17">
    <w:name w:val="Гиперссылка1"/>
    <w:link w:val="af4"/>
    <w:rPr>
      <w:color w:val="0000FF"/>
      <w:u w:val="single"/>
    </w:rPr>
  </w:style>
  <w:style w:type="character" w:styleId="af4">
    <w:name w:val="Hyperlink"/>
    <w:link w:val="17"/>
    <w:rPr>
      <w:rFonts w:ascii="Calibri" w:hAnsi="Calibri"/>
      <w:color w:val="0000FF"/>
      <w:spacing w:val="0"/>
      <w:sz w:val="2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color w:val="000000"/>
      <w:spacing w:val="0"/>
      <w:sz w:val="28"/>
    </w:rPr>
  </w:style>
  <w:style w:type="character" w:customStyle="1" w:styleId="af0">
    <w:name w:val="Список Знак"/>
    <w:basedOn w:val="Textbody0"/>
    <w:link w:val="ae"/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color w:val="000000"/>
      <w:spacing w:val="0"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styleId="af5">
    <w:name w:val="annotation subject"/>
    <w:basedOn w:val="a8"/>
    <w:next w:val="a8"/>
    <w:link w:val="af6"/>
    <w:rPr>
      <w:b/>
    </w:rPr>
  </w:style>
  <w:style w:type="character" w:customStyle="1" w:styleId="af6">
    <w:name w:val="Тема примечания Знак"/>
    <w:basedOn w:val="a9"/>
    <w:link w:val="af5"/>
    <w:rPr>
      <w:rFonts w:ascii="Times New Roman" w:hAnsi="Times New Roman"/>
      <w:b/>
      <w:color w:val="000000"/>
      <w:spacing w:val="0"/>
      <w:sz w:val="20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styleId="af7">
    <w:name w:val="index heading"/>
    <w:basedOn w:val="a"/>
    <w:link w:val="af8"/>
  </w:style>
  <w:style w:type="character" w:customStyle="1" w:styleId="af8">
    <w:name w:val="Указатель Знак"/>
    <w:basedOn w:val="1"/>
    <w:link w:val="af7"/>
    <w:rPr>
      <w:rFonts w:ascii="Times New Roman" w:hAnsi="Times New Roman"/>
      <w:color w:val="000000"/>
      <w:spacing w:val="0"/>
      <w:sz w:val="26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0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styleId="af9">
    <w:name w:val="footer"/>
    <w:link w:val="afa"/>
  </w:style>
  <w:style w:type="character" w:customStyle="1" w:styleId="1a">
    <w:name w:val="Нижний колонтитул1"/>
    <w:basedOn w:val="1"/>
    <w:rPr>
      <w:rFonts w:ascii="Times New Roman" w:hAnsi="Times New Roman"/>
      <w:color w:val="000000"/>
      <w:spacing w:val="0"/>
      <w:sz w:val="26"/>
    </w:rPr>
  </w:style>
  <w:style w:type="paragraph" w:styleId="afb">
    <w:name w:val="Subtitle"/>
    <w:link w:val="afc"/>
    <w:uiPriority w:val="11"/>
    <w:qFormat/>
    <w:rPr>
      <w:rFonts w:ascii="XO Thames" w:hAnsi="XO Thames"/>
      <w:i/>
      <w:sz w:val="24"/>
    </w:rPr>
  </w:style>
  <w:style w:type="character" w:customStyle="1" w:styleId="1b">
    <w:name w:val="Подзаголовок1"/>
    <w:rPr>
      <w:rFonts w:ascii="XO Thames" w:hAnsi="XO Thames"/>
      <w:i/>
      <w:color w:val="000000"/>
      <w:spacing w:val="0"/>
      <w:sz w:val="24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i/>
      <w:color w:val="000000"/>
      <w:spacing w:val="0"/>
      <w:sz w:val="24"/>
    </w:rPr>
  </w:style>
  <w:style w:type="character" w:customStyle="1" w:styleId="afa">
    <w:name w:val="Нижний колонтитул Знак"/>
    <w:link w:val="af9"/>
  </w:style>
  <w:style w:type="paragraph" w:customStyle="1" w:styleId="afd">
    <w:name w:val="Содержимое врезки"/>
    <w:basedOn w:val="a"/>
    <w:link w:val="afe"/>
  </w:style>
  <w:style w:type="character" w:customStyle="1" w:styleId="afe">
    <w:name w:val="Содержимое врезки"/>
    <w:basedOn w:val="1"/>
    <w:link w:val="afd"/>
    <w:rPr>
      <w:rFonts w:ascii="Times New Roman" w:hAnsi="Times New Roman"/>
      <w:color w:val="000000"/>
      <w:spacing w:val="0"/>
      <w:sz w:val="26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styleId="aff">
    <w:name w:val="Title"/>
    <w:next w:val="a"/>
    <w:link w:val="aff0"/>
    <w:uiPriority w:val="10"/>
    <w:qFormat/>
    <w:rPr>
      <w:rFonts w:ascii="XO Thames" w:hAnsi="XO Thames"/>
      <w:b/>
      <w:caps/>
      <w:sz w:val="40"/>
    </w:rPr>
  </w:style>
  <w:style w:type="character" w:customStyle="1" w:styleId="1c">
    <w:name w:val="Название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styleId="aff1">
    <w:name w:val="List Paragraph"/>
    <w:basedOn w:val="a"/>
    <w:link w:val="aff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2">
    <w:name w:val="Абзац списка Знак"/>
    <w:basedOn w:val="1"/>
    <w:link w:val="aff1"/>
    <w:rPr>
      <w:rFonts w:ascii="Calibri" w:hAnsi="Calibri"/>
      <w:color w:val="000000"/>
      <w:spacing w:val="0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character" w:customStyle="1" w:styleId="aff0">
    <w:name w:val="Название Знак"/>
    <w:link w:val="aff"/>
    <w:rPr>
      <w:rFonts w:ascii="XO Thames" w:hAnsi="XO Thames"/>
      <w:b/>
      <w:caps/>
      <w:color w:val="000000"/>
      <w:spacing w:val="0"/>
      <w:sz w:val="40"/>
    </w:r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E39F30EB3D255A5C7FF5067E018767E1D2B1C5C8810A97F2BA9DCD0EF432666FC4C4EC149103B8836860274879D97D72647DD2019F76D53D89921C1s2H" TargetMode="External"/><Relationship Id="rId13" Type="http://schemas.openxmlformats.org/officeDocument/2006/relationships/hyperlink" Target="consultantplus://offline/ref=6017382C10EE53F9D2531C68DCC517473B0A959F7316F7620A87EE299CB4C7CFB29C0A7612F50B85FCB06C612EC30F06272624A4BDA408DBODJ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0E39F30EB3D255A5C7E15D718C467C7A1275125F881CFF207FAF8B8FBF457334BC1217830A033A8928840470C8sCH" TargetMode="External"/><Relationship Id="rId12" Type="http://schemas.openxmlformats.org/officeDocument/2006/relationships/hyperlink" Target="consultantplus://offline/ref=6017382C10EE53F9D2531C68DCC517473B0A959F7316F7620A87EE299CB4C7CFB29C0A7612F50B85FCB06C612EC30F06272624A4BDA408DBODJ8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017382C10EE53F9D2531C68DCC517473B0A959F7316F7620A87EE299CB4C7CFB29C0A7612F50B85FCB06C612EC30F06272624A4BDA408DBODJ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17382C10EE53F9D2531C68DCC517473B0A959F7316F7620A87EE299CB4C7CFA09C527A12F31684FBA53A3068O9J4L" TargetMode="External"/><Relationship Id="rId14" Type="http://schemas.openxmlformats.org/officeDocument/2006/relationships/hyperlink" Target="consultantplus://offline/ref=B0124D336CD6DF98F9C87681E1E3729A1B2C378095D3492D0729FAE314D525FCD8AF4F58BF5469F9D8DA33CE41k0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2566</Words>
  <Characters>14630</Characters>
  <Application>Microsoft Office Word</Application>
  <DocSecurity>0</DocSecurity>
  <Lines>121</Lines>
  <Paragraphs>34</Paragraphs>
  <ScaleCrop>false</ScaleCrop>
  <Company>Russia</Company>
  <LinksUpToDate>false</LinksUpToDate>
  <CharactersWithSpaces>17162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Самойленко Константин Александрович</cp:lastModifiedBy>
  <cp:revision>2</cp:revision>
  <dcterms:created xsi:type="dcterms:W3CDTF">2023-04-06T12:19:00Z</dcterms:created>
  <dcterms:modified xsi:type="dcterms:W3CDTF">2023-04-06T12:20:00Z</dcterms:modified>
</cp:coreProperties>
</file>