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widowControl w:val="0"/>
        <w:spacing w:line="240" w:lineRule="exact"/>
        <w:ind/>
        <w:jc w:val="center"/>
        <w:rPr>
          <w:color w:val="000000"/>
          <w:sz w:val="28"/>
        </w:rPr>
      </w:pPr>
      <w:r>
        <w:rPr>
          <w:color w:val="000000"/>
          <w:sz w:val="28"/>
        </w:rPr>
        <w:t>ФИНАНСОВО-ЭКОНОМИЧЕСКОЕ ОБОСНОВАНИЕ</w:t>
      </w:r>
    </w:p>
    <w:p w14:paraId="03000000">
      <w:pPr>
        <w:widowControl w:val="0"/>
        <w:spacing w:line="240" w:lineRule="exact"/>
        <w:ind/>
        <w:rPr>
          <w:color w:val="000000"/>
          <w:sz w:val="28"/>
        </w:rPr>
      </w:pPr>
      <w:r>
        <w:rPr>
          <w:color w:val="000000"/>
          <w:sz w:val="28"/>
        </w:rPr>
        <w:t xml:space="preserve">к проекту постановления администрации города Ставрополя «О внесении изменений в муниципальную программу «Развитие жилищно-коммунального хозяйства, осуществление </w:t>
      </w:r>
      <w:r>
        <w:rPr>
          <w:color w:val="000000"/>
          <w:sz w:val="28"/>
        </w:rPr>
        <w:t>дорожной деятельности и обеспечение безопасности дорожного движения на территории города Ставрополя, благоустройство территории города Ставрополя», утвержденную постановлением администрации города Ставрополя от 11.11.2022 № 2413»</w:t>
      </w:r>
    </w:p>
    <w:p w14:paraId="04000000">
      <w:pPr>
        <w:widowControl w:val="0"/>
        <w:ind/>
        <w:rPr>
          <w:color w:val="000000"/>
          <w:sz w:val="28"/>
        </w:rPr>
      </w:pPr>
    </w:p>
    <w:p w14:paraId="05000000">
      <w:pPr>
        <w:widowControl w:val="0"/>
        <w:ind w:firstLine="708"/>
        <w:rPr>
          <w:color w:val="000000"/>
          <w:sz w:val="28"/>
        </w:rPr>
      </w:pPr>
      <w:r>
        <w:rPr>
          <w:color w:val="000000"/>
          <w:spacing w:val="-6"/>
          <w:sz w:val="28"/>
        </w:rPr>
        <w:t>В соответствии с постанов</w:t>
      </w:r>
      <w:r>
        <w:rPr>
          <w:color w:val="000000"/>
          <w:spacing w:val="-6"/>
          <w:sz w:val="28"/>
        </w:rPr>
        <w:t>лением администрации города Ставрополя от 26.08.2019 № 2382 «О Порядке разработки муниципальных программ, их формирования и реализации» и в целях уточнения объемов финансирования комитет городского хозяйства администрации города Ставрополя вносит на рассмо</w:t>
      </w:r>
      <w:r>
        <w:rPr>
          <w:color w:val="000000"/>
          <w:spacing w:val="-6"/>
          <w:sz w:val="28"/>
        </w:rPr>
        <w:t>трение проект постановления администрации города «</w:t>
      </w:r>
      <w:r>
        <w:rPr>
          <w:color w:val="000000"/>
          <w:sz w:val="28"/>
        </w:rPr>
        <w:t>О внесении изменений в муниципальную программу «Развитие жилищно-коммунального хозяйства, осуществление дорожной деятельности и обеспечение безопасности дорожного движения на территории города Ставрополя, б</w:t>
      </w:r>
      <w:r>
        <w:rPr>
          <w:color w:val="000000"/>
          <w:sz w:val="28"/>
        </w:rPr>
        <w:t>лагоустройство территории города Ставрополя», утвержденную постановлением администрации города С</w:t>
      </w:r>
      <w:r>
        <w:rPr>
          <w:color w:val="000000"/>
          <w:sz w:val="28"/>
        </w:rPr>
        <w:t xml:space="preserve">таврополя от 11.11.2022 № 2413» </w:t>
      </w:r>
      <w:r>
        <w:rPr>
          <w:color w:val="000000"/>
          <w:sz w:val="28"/>
        </w:rPr>
        <w:t>(далее соответственно – комитет, проект, Программа).</w:t>
      </w:r>
    </w:p>
    <w:p w14:paraId="06000000">
      <w:pPr>
        <w:widowControl w:val="0"/>
        <w:ind w:firstLine="708"/>
        <w:rPr>
          <w:color w:val="000000"/>
          <w:sz w:val="28"/>
        </w:rPr>
      </w:pPr>
      <w:r>
        <w:rPr>
          <w:color w:val="000000"/>
          <w:sz w:val="28"/>
        </w:rPr>
        <w:t>Проектом предусматривается:</w:t>
      </w:r>
    </w:p>
    <w:p w14:paraId="07000000">
      <w:pPr>
        <w:widowControl w:val="0"/>
        <w:ind w:firstLine="708"/>
        <w:rPr>
          <w:color w:val="000000"/>
          <w:sz w:val="28"/>
        </w:rPr>
      </w:pPr>
      <w:r>
        <w:rPr>
          <w:color w:val="000000"/>
          <w:sz w:val="28"/>
        </w:rPr>
        <w:t>увеличение</w:t>
      </w:r>
      <w:r>
        <w:rPr>
          <w:color w:val="000000"/>
          <w:sz w:val="28"/>
        </w:rPr>
        <w:t xml:space="preserve"> бюдж</w:t>
      </w:r>
      <w:r>
        <w:rPr>
          <w:color w:val="000000"/>
          <w:sz w:val="28"/>
        </w:rPr>
        <w:t xml:space="preserve">етных ассигнований подпрограммы </w:t>
      </w:r>
      <w:r>
        <w:rPr>
          <w:color w:val="000000"/>
          <w:sz w:val="28"/>
        </w:rPr>
        <w:t xml:space="preserve">«Развитие жилищно-коммунального хозяйства на территории города Ставрополя» на     </w:t>
      </w:r>
      <w:r>
        <w:rPr>
          <w:color w:val="000000"/>
          <w:sz w:val="28"/>
        </w:rPr>
        <w:t>20 999,98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тыс. рублей</w:t>
      </w:r>
      <w:r>
        <w:rPr>
          <w:color w:val="000000"/>
          <w:sz w:val="28"/>
        </w:rPr>
        <w:t xml:space="preserve"> в 2025 году</w:t>
      </w:r>
      <w:r>
        <w:rPr>
          <w:color w:val="000000"/>
          <w:sz w:val="28"/>
        </w:rPr>
        <w:t xml:space="preserve"> в связи с уточнением объемов финансирования мероприятий, входящих в данную подпрограмму;</w:t>
      </w:r>
    </w:p>
    <w:p w14:paraId="08000000">
      <w:pPr>
        <w:widowControl w:val="0"/>
        <w:ind w:firstLine="708"/>
        <w:rPr>
          <w:color w:val="000000"/>
          <w:sz w:val="28"/>
        </w:rPr>
      </w:pPr>
      <w:r>
        <w:rPr>
          <w:color w:val="000000"/>
          <w:sz w:val="28"/>
        </w:rPr>
        <w:t>увеличение</w:t>
      </w:r>
      <w:r>
        <w:rPr>
          <w:color w:val="000000"/>
          <w:sz w:val="28"/>
        </w:rPr>
        <w:t xml:space="preserve"> бюджетных ассигнований подпрограммы «Дорожная деятельность</w:t>
      </w:r>
      <w:r>
        <w:rPr>
          <w:color w:val="000000"/>
          <w:sz w:val="28"/>
        </w:rPr>
        <w:t xml:space="preserve"> и обеспечение безопасности дорожного движения на территории города Ставрополя» на </w:t>
      </w:r>
      <w:r>
        <w:rPr>
          <w:color w:val="000000"/>
          <w:sz w:val="28"/>
        </w:rPr>
        <w:t>1 106 263,56</w:t>
      </w:r>
      <w:r>
        <w:rPr>
          <w:color w:val="000000"/>
          <w:sz w:val="28"/>
        </w:rPr>
        <w:t xml:space="preserve"> тыс. рублей в 2025 году, на      3 688,43 тыс. рублей в 2026 году, на </w:t>
      </w:r>
      <w:r>
        <w:rPr>
          <w:color w:val="000000"/>
          <w:sz w:val="28"/>
        </w:rPr>
        <w:t>3 688,43</w:t>
      </w:r>
      <w:r>
        <w:rPr>
          <w:color w:val="000000"/>
          <w:sz w:val="28"/>
        </w:rPr>
        <w:t xml:space="preserve"> тыс. рублей в 2027 году, </w:t>
      </w:r>
      <w:r>
        <w:rPr>
          <w:color w:val="000000"/>
          <w:sz w:val="28"/>
        </w:rPr>
        <w:t xml:space="preserve">на         </w:t>
      </w:r>
      <w:r>
        <w:rPr>
          <w:color w:val="000000"/>
          <w:sz w:val="28"/>
        </w:rPr>
        <w:t>3 688,43</w:t>
      </w:r>
      <w:r>
        <w:rPr>
          <w:color w:val="000000"/>
          <w:sz w:val="28"/>
        </w:rPr>
        <w:t xml:space="preserve"> тыс. рублей в 2028 году </w:t>
      </w:r>
      <w:r>
        <w:rPr>
          <w:color w:val="000000"/>
          <w:sz w:val="28"/>
        </w:rPr>
        <w:t>в связи с уточнением объемов фи</w:t>
      </w:r>
      <w:r>
        <w:rPr>
          <w:color w:val="000000"/>
          <w:sz w:val="28"/>
        </w:rPr>
        <w:t xml:space="preserve">нансирования мероприятий, входящих в данную подпрограмму, и включением новых мероприятий: </w:t>
      </w:r>
      <w:r>
        <w:rPr>
          <w:color w:val="000000"/>
          <w:sz w:val="28"/>
        </w:rPr>
        <w:t>«</w:t>
      </w:r>
      <w:r>
        <w:rPr>
          <w:sz w:val="28"/>
        </w:rPr>
        <w:t>Строительство автомобильных дорог в 12 микрорайоне Ленинского района города Ставрополя по улице Беличенко, Летной, Бударской и Исторической (в том числе проектно-изыскательские работы)</w:t>
      </w:r>
      <w:r>
        <w:rPr>
          <w:sz w:val="28"/>
        </w:rPr>
        <w:t>» объемом финансирования на 2025 год в сумме 598,00 тыс. рублей за счет средств бюджета города Ставрополя</w:t>
      </w:r>
      <w:r>
        <w:rPr/>
        <w:t>,</w:t>
      </w:r>
      <w:r>
        <w:rPr>
          <w:sz w:val="28"/>
        </w:rPr>
        <w:t xml:space="preserve"> «</w:t>
      </w:r>
      <w:r>
        <w:rPr>
          <w:sz w:val="28"/>
        </w:rPr>
        <w:t>Комплексное техническое обследование объектов реконструкции (строительства) автомобильных дорог и экспертиза результатов выполненных работ</w:t>
      </w:r>
      <w:r>
        <w:rPr>
          <w:sz w:val="28"/>
        </w:rPr>
        <w:t>» объемом финансирования на 2025 год в сумме 500,00 тыс. рублей за счет средств бюджета города Ставрополя</w:t>
      </w:r>
      <w:r>
        <w:rPr>
          <w:color w:val="000000"/>
          <w:sz w:val="28"/>
        </w:rPr>
        <w:t>;</w:t>
      </w:r>
    </w:p>
    <w:p w14:paraId="09000000">
      <w:pPr>
        <w:widowControl w:val="0"/>
        <w:ind w:firstLine="708"/>
        <w:rPr>
          <w:sz w:val="28"/>
        </w:rPr>
      </w:pPr>
      <w:r>
        <w:rPr>
          <w:color w:val="000000"/>
          <w:sz w:val="28"/>
        </w:rPr>
        <w:t xml:space="preserve">увеличение бюджетных ассигнований подпрограммы «Благоустройство территории города Ставрополя» на </w:t>
      </w:r>
      <w:r>
        <w:rPr>
          <w:color w:val="000000"/>
          <w:sz w:val="28"/>
        </w:rPr>
        <w:t>49 280,92</w:t>
      </w:r>
      <w:r>
        <w:rPr>
          <w:color w:val="000000"/>
          <w:sz w:val="28"/>
        </w:rPr>
        <w:t xml:space="preserve"> тыс. рублей в 2025 году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в связи с уточнением объемов финансирования мероприятий, входящих в данную подпрограмму, и включением новых мероприятий: </w:t>
      </w:r>
      <w:r>
        <w:rPr>
          <w:sz w:val="28"/>
        </w:rPr>
        <w:t>«</w:t>
      </w:r>
      <w:r>
        <w:rPr>
          <w:sz w:val="28"/>
        </w:rPr>
        <w:t>Обеспечение деятельности муниципального бюджетного учреждения «Обелиск» в части содержания кладбищ</w:t>
      </w:r>
      <w:r>
        <w:rPr>
          <w:sz w:val="28"/>
        </w:rPr>
        <w:t>» объемом финансирования</w:t>
      </w:r>
      <w:r>
        <w:rPr>
          <w:sz w:val="28"/>
        </w:rPr>
        <w:t xml:space="preserve"> на 2025 год в сумме            12 500,00 тыс. рублей за счет средств бюджета</w:t>
      </w:r>
      <w:r>
        <w:rPr>
          <w:sz w:val="28"/>
        </w:rPr>
        <w:t xml:space="preserve"> города Ставрополя</w:t>
      </w:r>
      <w:r>
        <w:rPr>
          <w:sz w:val="28"/>
        </w:rPr>
        <w:t xml:space="preserve">, </w:t>
      </w:r>
      <w:r>
        <w:rPr>
          <w:sz w:val="27"/>
        </w:rPr>
        <w:t xml:space="preserve"> </w:t>
      </w:r>
      <w:r>
        <w:rPr>
          <w:sz w:val="28"/>
        </w:rPr>
        <w:t>«</w:t>
      </w:r>
      <w:r>
        <w:rPr>
          <w:sz w:val="28"/>
        </w:rPr>
        <w:t>Проведение экспертизы проектно-сметной документации по ремонту детских площадок</w:t>
      </w:r>
      <w:r>
        <w:rPr>
          <w:sz w:val="28"/>
        </w:rPr>
        <w:t>» объемом финансирования на 2025 год в сумме                276,00 тыс. рублей за счет средств бюджета города Ставрополя</w:t>
      </w:r>
      <w:r>
        <w:rPr>
          <w:sz w:val="28"/>
        </w:rPr>
        <w:t xml:space="preserve">; </w:t>
      </w:r>
      <w:r>
        <w:rPr>
          <w:sz w:val="27"/>
        </w:rPr>
        <w:t>«</w:t>
      </w:r>
      <w:r>
        <w:rPr>
          <w:sz w:val="28"/>
        </w:rPr>
        <w:t>Выполнение работ по ремонту асфальтобетонного покрытия на участке от здания № 2 по ул. Суворова до могилы И.Р. Апанасенко и установка заграждающих устройств в виде боллардов в районе Собора Казанской иконы Божией Матери в городе Ставрополе, ремонт ограждений территории в районе дома №5 по улице Суворова</w:t>
      </w:r>
      <w:r>
        <w:rPr>
          <w:sz w:val="28"/>
        </w:rPr>
        <w:t xml:space="preserve">» объемом финансирования на 2025 год в сумме </w:t>
      </w:r>
      <w:r>
        <w:rPr>
          <w:sz w:val="28"/>
        </w:rPr>
        <w:t>8 091,77</w:t>
      </w:r>
      <w:r>
        <w:rPr>
          <w:sz w:val="28"/>
        </w:rPr>
        <w:t xml:space="preserve"> тыс. рублей за счет средств бюджета города Ставрополя; </w:t>
      </w:r>
      <w:r>
        <w:rPr>
          <w:sz w:val="28"/>
        </w:rPr>
        <w:t>«</w:t>
      </w:r>
      <w:r>
        <w:rPr>
          <w:sz w:val="28"/>
        </w:rPr>
        <w:t>Разработка дизайн-проекта и сметной документации на выполнение работ по благоустройству сквера в районе аэропорта имени А.В. Суворова в городе Ставрополе</w:t>
      </w:r>
      <w:r>
        <w:rPr>
          <w:sz w:val="28"/>
        </w:rPr>
        <w:t>» объемом фина</w:t>
      </w:r>
      <w:r>
        <w:rPr>
          <w:sz w:val="28"/>
        </w:rPr>
        <w:t>нсирования на 2025 год в сумме                     450,00 тыс. рублей за счет средств бюджета города Ставрополя.</w:t>
      </w:r>
    </w:p>
    <w:p w14:paraId="0A000000">
      <w:pPr>
        <w:widowControl w:val="1"/>
        <w:ind w:firstLine="709"/>
        <w:rPr>
          <w:color w:val="000000"/>
          <w:sz w:val="28"/>
        </w:rPr>
      </w:pPr>
      <w:r>
        <w:rPr>
          <w:color w:val="000000"/>
          <w:sz w:val="28"/>
        </w:rPr>
        <w:t>Таким образом, объем бюджетны</w:t>
      </w:r>
      <w:r>
        <w:rPr>
          <w:color w:val="000000"/>
          <w:sz w:val="28"/>
        </w:rPr>
        <w:t xml:space="preserve">х ассигнований Программы составит     </w:t>
      </w:r>
      <w:r>
        <w:rPr>
          <w:rFonts w:ascii="Times New Roman" w:hAnsi="Times New Roman"/>
        </w:rPr>
        <w:t>13 805 857,95</w:t>
      </w:r>
      <w:r>
        <w:rPr>
          <w:rFonts w:ascii="Times New Roman" w:hAnsi="Times New Roman"/>
        </w:rPr>
        <w:t xml:space="preserve"> тыс. рублей, в том числе по годам:</w:t>
      </w:r>
    </w:p>
    <w:p w14:paraId="0B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2 732 240,71 тыс. рублей;</w:t>
      </w:r>
    </w:p>
    <w:p w14:paraId="0C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4 464 326,37 тыс. рублей;</w:t>
      </w:r>
    </w:p>
    <w:p w14:paraId="0D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3 294 346,25 тыс. рублей;</w:t>
      </w:r>
    </w:p>
    <w:p w14:paraId="0E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1 104 981,54 тыс. рублей;</w:t>
      </w:r>
    </w:p>
    <w:p w14:paraId="0F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2027 год – </w:t>
      </w:r>
      <w:r>
        <w:rPr>
          <w:rFonts w:ascii="Times New Roman" w:hAnsi="Times New Roman"/>
        </w:rPr>
        <w:t>1 104 981,54</w:t>
      </w:r>
      <w:r>
        <w:rPr>
          <w:rFonts w:ascii="Times New Roman" w:hAnsi="Times New Roman"/>
        </w:rPr>
        <w:t xml:space="preserve"> тыс. рублей;</w:t>
      </w:r>
    </w:p>
    <w:p w14:paraId="10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2028 год – </w:t>
      </w:r>
      <w:r>
        <w:rPr>
          <w:rFonts w:ascii="Times New Roman" w:hAnsi="Times New Roman"/>
        </w:rPr>
        <w:t>1 104 981,54</w:t>
      </w:r>
      <w:r>
        <w:rPr>
          <w:rFonts w:ascii="Times New Roman" w:hAnsi="Times New Roman"/>
        </w:rPr>
        <w:t xml:space="preserve"> тыс. рубле</w:t>
      </w:r>
      <w:r>
        <w:rPr>
          <w:rFonts w:ascii="Times New Roman" w:hAnsi="Times New Roman"/>
        </w:rPr>
        <w:t>й;</w:t>
      </w:r>
    </w:p>
    <w:p w14:paraId="11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из них за счет средств:</w:t>
      </w:r>
    </w:p>
    <w:p w14:paraId="12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бюджета города Ставрополя в сумме 8 082 964,05 тыс. рублей, в том числе по годам:</w:t>
      </w:r>
    </w:p>
    <w:p w14:paraId="13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1 254 783,61 тыс. рублей;</w:t>
      </w:r>
    </w:p>
    <w:p w14:paraId="14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1 839 713,04 тыс. рублей;</w:t>
      </w:r>
    </w:p>
    <w:p w14:paraId="15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1 844 089,49 тыс. рублей;</w:t>
      </w:r>
    </w:p>
    <w:p w14:paraId="16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1 048 125,97 тыс. рублей;</w:t>
      </w:r>
    </w:p>
    <w:p w14:paraId="17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2027 год – </w:t>
      </w:r>
      <w:r>
        <w:rPr>
          <w:rFonts w:ascii="Times New Roman" w:hAnsi="Times New Roman"/>
        </w:rPr>
        <w:t>1 048 125,97</w:t>
      </w:r>
      <w:r>
        <w:rPr>
          <w:rFonts w:ascii="Times New Roman" w:hAnsi="Times New Roman"/>
        </w:rPr>
        <w:t xml:space="preserve"> тыс. рублей;</w:t>
      </w:r>
    </w:p>
    <w:p w14:paraId="18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2028 год – </w:t>
      </w:r>
      <w:r>
        <w:rPr>
          <w:rFonts w:ascii="Times New Roman" w:hAnsi="Times New Roman"/>
        </w:rPr>
        <w:t>1 048 125,97</w:t>
      </w:r>
      <w:r>
        <w:rPr>
          <w:rFonts w:ascii="Times New Roman" w:hAnsi="Times New Roman"/>
        </w:rPr>
        <w:t xml:space="preserve"> тыс. рублей;</w:t>
      </w:r>
    </w:p>
    <w:p w14:paraId="19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бюджета Ставропольского края в сумме 4 880 243,35 тыс. рублей, в том числе по годам:</w:t>
      </w:r>
    </w:p>
    <w:p w14:paraId="1A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1 113 625,98 тыс. рублей;</w:t>
      </w:r>
    </w:p>
    <w:p w14:paraId="1B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2 421 102,85 тыс. рублей;</w:t>
      </w:r>
    </w:p>
    <w:p w14:paraId="1C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2025 год – 1 324 947,81 </w:t>
      </w:r>
      <w:r>
        <w:rPr>
          <w:rFonts w:ascii="Times New Roman" w:hAnsi="Times New Roman"/>
        </w:rPr>
        <w:t>тыс. рублей;</w:t>
      </w:r>
    </w:p>
    <w:p w14:paraId="1D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6 855,57 тыс. рублей;</w:t>
      </w:r>
    </w:p>
    <w:p w14:paraId="1E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2027 год – 6 855,57 тыс. рублей;</w:t>
      </w:r>
    </w:p>
    <w:p w14:paraId="1F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2028 год – 6 855,57 тыс. рублей;</w:t>
      </w:r>
    </w:p>
    <w:p w14:paraId="20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бюджета Ставропольского края, выделяемых бюджету города Ставрополя на осуществление функций административного центра Ставропольского края, в сум</w:t>
      </w:r>
      <w:r>
        <w:rPr>
          <w:rFonts w:ascii="Times New Roman" w:hAnsi="Times New Roman"/>
        </w:rPr>
        <w:t>ме 831 585,54 тыс. рублей, в том числе по годам:</w:t>
      </w:r>
    </w:p>
    <w:p w14:paraId="21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358 767,13 тыс. рублей;</w:t>
      </w:r>
    </w:p>
    <w:p w14:paraId="22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203 510,48 тыс. рублей;</w:t>
      </w:r>
    </w:p>
    <w:p w14:paraId="23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119 307,93 тыс. рублей;</w:t>
      </w:r>
    </w:p>
    <w:p w14:paraId="24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50 000,00 тыс. рублей;</w:t>
      </w:r>
    </w:p>
    <w:p w14:paraId="25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2027 год – 50 000,00 тыс. рублей;</w:t>
      </w:r>
    </w:p>
    <w:p w14:paraId="26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2028 год – 50 000,00 тыс. рублей;</w:t>
      </w:r>
    </w:p>
    <w:p w14:paraId="27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физических лиц в сумме 2 366,02 тыс. рублей, в том числе по годам: </w:t>
      </w:r>
    </w:p>
    <w:p w14:paraId="28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1 165,00 тыс. рублей;</w:t>
      </w:r>
    </w:p>
    <w:p w14:paraId="29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0,00 тыс. рублей;</w:t>
      </w:r>
    </w:p>
    <w:p w14:paraId="2A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1 201,02 тыс. рублей;</w:t>
      </w:r>
    </w:p>
    <w:p w14:paraId="2B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0,00 тыс. рублей;</w:t>
      </w:r>
    </w:p>
    <w:p w14:paraId="2C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2027 год – 0,00 тыс. рублей;</w:t>
      </w:r>
    </w:p>
    <w:p w14:paraId="2D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2028 год – 0,00 тыс. рублей;</w:t>
      </w:r>
    </w:p>
    <w:p w14:paraId="2E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орган</w:t>
      </w:r>
      <w:r>
        <w:rPr>
          <w:rFonts w:ascii="Times New Roman" w:hAnsi="Times New Roman"/>
        </w:rPr>
        <w:t>изаций в сумме 8 698,99 тыс. рублей, в том числе по годам:</w:t>
      </w:r>
    </w:p>
    <w:p w14:paraId="2F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3 898,99 тыс. рублей;</w:t>
      </w:r>
    </w:p>
    <w:p w14:paraId="30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0,00 тыс. рублей;</w:t>
      </w:r>
    </w:p>
    <w:p w14:paraId="31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4 800,00 тыс. рублей;</w:t>
      </w:r>
    </w:p>
    <w:p w14:paraId="32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0,00 тыс. рублей;</w:t>
      </w:r>
    </w:p>
    <w:p w14:paraId="33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2027 год – 0,00 тыс. рублей;</w:t>
      </w:r>
    </w:p>
    <w:p w14:paraId="34000000">
      <w:pPr>
        <w:widowControl w:val="1"/>
        <w:ind w:firstLine="709"/>
        <w:rPr>
          <w:color w:val="000000"/>
          <w:sz w:val="28"/>
        </w:rPr>
      </w:pPr>
      <w:r>
        <w:rPr>
          <w:rFonts w:ascii="Times New Roman" w:hAnsi="Times New Roman"/>
        </w:rPr>
        <w:t>2028 год – 0,00 тыс. рублей</w:t>
      </w:r>
      <w:r>
        <w:rPr>
          <w:color w:val="000000"/>
          <w:sz w:val="28"/>
        </w:rPr>
        <w:t>.</w:t>
      </w:r>
    </w:p>
    <w:p w14:paraId="35000000">
      <w:pPr>
        <w:widowControl w:val="1"/>
        <w:ind w:firstLine="709"/>
        <w:rPr>
          <w:color w:val="000000"/>
          <w:sz w:val="28"/>
        </w:rPr>
      </w:pPr>
      <w:r>
        <w:rPr>
          <w:color w:val="000000"/>
          <w:sz w:val="28"/>
        </w:rPr>
        <w:t xml:space="preserve">Объем бюджетных средств на 2023 - 2028 годы определяется решениями Ставропольской городской Думы о </w:t>
      </w:r>
      <w:r>
        <w:rPr>
          <w:color w:val="000000"/>
          <w:sz w:val="28"/>
        </w:rPr>
        <w:t>бюджете города Ставрополя на очередной финансовый год и плановый период.</w:t>
      </w:r>
    </w:p>
    <w:p w14:paraId="36000000">
      <w:pPr>
        <w:widowControl w:val="0"/>
        <w:ind w:firstLine="708"/>
        <w:rPr>
          <w:sz w:val="28"/>
        </w:rPr>
      </w:pPr>
    </w:p>
    <w:p w14:paraId="37000000">
      <w:pPr>
        <w:widowControl w:val="0"/>
        <w:ind w:firstLine="708"/>
        <w:rPr>
          <w:sz w:val="28"/>
        </w:rPr>
      </w:pPr>
    </w:p>
    <w:p w14:paraId="38000000">
      <w:pPr>
        <w:widowControl w:val="0"/>
        <w:ind w:firstLine="708"/>
        <w:rPr>
          <w:sz w:val="28"/>
        </w:rPr>
      </w:pPr>
    </w:p>
    <w:p w14:paraId="39000000">
      <w:pPr>
        <w:pStyle w:val="Style_2"/>
        <w:widowControl w:val="0"/>
        <w:spacing w:line="240" w:lineRule="exact"/>
        <w:ind/>
        <w:jc w:val="both"/>
        <w:rPr>
          <w:sz w:val="28"/>
        </w:rPr>
      </w:pPr>
      <w:r>
        <w:rPr>
          <w:sz w:val="28"/>
        </w:rPr>
        <w:t>З</w:t>
      </w:r>
      <w:r>
        <w:rPr>
          <w:sz w:val="28"/>
        </w:rPr>
        <w:t>аместитель главы администрации</w:t>
      </w:r>
    </w:p>
    <w:p w14:paraId="3A000000">
      <w:pPr>
        <w:pStyle w:val="Style_2"/>
        <w:widowControl w:val="0"/>
        <w:spacing w:line="240" w:lineRule="exact"/>
        <w:ind/>
        <w:jc w:val="both"/>
        <w:rPr>
          <w:sz w:val="28"/>
        </w:rPr>
      </w:pPr>
      <w:r>
        <w:rPr>
          <w:sz w:val="28"/>
        </w:rPr>
        <w:t>города Ставрополя, руководитель</w:t>
      </w:r>
    </w:p>
    <w:p w14:paraId="3B000000">
      <w:pPr>
        <w:pStyle w:val="Style_2"/>
        <w:widowControl w:val="0"/>
        <w:spacing w:line="240" w:lineRule="exact"/>
        <w:ind/>
        <w:jc w:val="both"/>
        <w:rPr>
          <w:sz w:val="28"/>
        </w:rPr>
      </w:pPr>
      <w:r>
        <w:rPr>
          <w:sz w:val="28"/>
        </w:rPr>
        <w:t>комитета городского хозяйства</w:t>
      </w:r>
    </w:p>
    <w:p w14:paraId="3C000000">
      <w:pPr>
        <w:pStyle w:val="Style_2"/>
        <w:widowControl w:val="0"/>
        <w:spacing w:line="240" w:lineRule="exact"/>
        <w:ind/>
        <w:jc w:val="both"/>
        <w:rPr>
          <w:sz w:val="27"/>
        </w:rPr>
      </w:pPr>
      <w:r>
        <w:rPr>
          <w:sz w:val="28"/>
        </w:rPr>
        <w:t xml:space="preserve">администрации города Ставрополя                                            </w:t>
      </w:r>
      <w:r>
        <w:rPr>
          <w:sz w:val="28"/>
        </w:rPr>
        <w:t xml:space="preserve">   М.В. Хусаинов</w:t>
      </w:r>
    </w:p>
    <w:p w14:paraId="3D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3E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3F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40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41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42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43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44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45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46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47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48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49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4A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4B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4C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4D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4E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4F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50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51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52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53000000">
      <w:pPr>
        <w:pStyle w:val="Style_2"/>
        <w:widowControl w:val="0"/>
        <w:spacing w:line="240" w:lineRule="exact"/>
        <w:ind/>
        <w:jc w:val="both"/>
        <w:rPr>
          <w:sz w:val="20"/>
        </w:rPr>
      </w:pPr>
      <w:r>
        <w:rPr>
          <w:sz w:val="20"/>
        </w:rPr>
        <w:t xml:space="preserve">М.В. </w:t>
      </w:r>
      <w:r>
        <w:rPr>
          <w:sz w:val="20"/>
        </w:rPr>
        <w:t>Труфанова,</w:t>
      </w:r>
    </w:p>
    <w:p w14:paraId="54000000">
      <w:pPr>
        <w:pStyle w:val="Style_2"/>
        <w:widowControl w:val="0"/>
        <w:spacing w:line="240" w:lineRule="exact"/>
        <w:ind/>
        <w:jc w:val="both"/>
        <w:rPr>
          <w:sz w:val="20"/>
        </w:rPr>
      </w:pPr>
      <w:r>
        <w:rPr>
          <w:sz w:val="20"/>
        </w:rPr>
        <w:t>Е.С. Овсянникова, 35-75-31</w:t>
      </w:r>
    </w:p>
    <w:sectPr>
      <w:headerReference r:id="rId1" w:type="default"/>
      <w:pgSz w:h="16848" w:orient="portrait" w:w="11908"/>
      <w:pgMar w:bottom="993" w:footer="709" w:gutter="0" w:header="709" w:left="1984" w:right="567" w:top="1417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spacing w:after="0" w:line="240" w:lineRule="auto"/>
      <w:ind/>
      <w:jc w:val="both"/>
    </w:pPr>
    <w:rPr>
      <w:rFonts w:ascii="Times New Roman" w:hAnsi="Times New Roman"/>
      <w:sz w:val="28"/>
    </w:rPr>
  </w:style>
  <w:style w:default="1" w:styleId="Style_3_ch" w:type="character">
    <w:name w:val="Normal"/>
    <w:link w:val="Style_3"/>
    <w:rPr>
      <w:rFonts w:ascii="Times New Roman" w:hAnsi="Times New Roman"/>
      <w:sz w:val="28"/>
    </w:rPr>
  </w:style>
  <w:style w:styleId="Style_4" w:type="paragraph">
    <w:name w:val="toc 2"/>
    <w:next w:val="Style_3"/>
    <w:link w:val="Style_4_ch"/>
    <w:uiPriority w:val="39"/>
    <w:pPr>
      <w:widowControl w:val="1"/>
      <w:ind w:left="200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widowControl w:val="1"/>
      <w:ind w:left="600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widowControl w:val="1"/>
      <w:ind w:left="1000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widowControl w:val="1"/>
      <w:ind w:left="1200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widowControl w:val="1"/>
      <w:ind w:firstLine="851"/>
      <w:jc w:val="both"/>
    </w:pPr>
    <w:rPr>
      <w:rFonts w:ascii="XO Thames" w:hAnsi="XO Thames"/>
    </w:rPr>
  </w:style>
  <w:style w:styleId="Style_8_ch" w:type="character">
    <w:name w:val="Endnote"/>
    <w:link w:val="Style_8"/>
    <w:rPr>
      <w:rFonts w:ascii="XO Thames" w:hAnsi="XO Thames"/>
    </w:rPr>
  </w:style>
  <w:style w:styleId="Style_9" w:type="paragraph">
    <w:name w:val="heading 3"/>
    <w:next w:val="Style_3"/>
    <w:link w:val="Style_9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Основной шрифт абзаца2"/>
    <w:link w:val="Style_11_ch"/>
  </w:style>
  <w:style w:styleId="Style_11_ch" w:type="character">
    <w:name w:val="Основной шрифт абзаца2"/>
    <w:link w:val="Style_11"/>
  </w:style>
  <w:style w:styleId="Style_12" w:type="paragraph">
    <w:name w:val="Гиперссылка2"/>
    <w:link w:val="Style_12_ch"/>
    <w:rPr>
      <w:color w:val="0000FF"/>
      <w:u w:val="single"/>
    </w:rPr>
  </w:style>
  <w:style w:styleId="Style_12_ch" w:type="character">
    <w:name w:val="Гиперссылка2"/>
    <w:link w:val="Style_12"/>
    <w:rPr>
      <w:color w:val="0000FF"/>
      <w:u w:val="single"/>
    </w:rPr>
  </w:style>
  <w:style w:styleId="Style_13" w:type="paragraph">
    <w:name w:val="Обычный1"/>
    <w:link w:val="Style_13_ch"/>
    <w:rPr>
      <w:rFonts w:ascii="Times New Roman" w:hAnsi="Times New Roman"/>
      <w:sz w:val="28"/>
    </w:rPr>
  </w:style>
  <w:style w:styleId="Style_13_ch" w:type="character">
    <w:name w:val="Обычный1"/>
    <w:link w:val="Style_13"/>
    <w:rPr>
      <w:rFonts w:ascii="Times New Roman" w:hAnsi="Times New Roman"/>
      <w:sz w:val="28"/>
    </w:rPr>
  </w:style>
  <w:style w:styleId="Style_14" w:type="paragraph">
    <w:name w:val="toc 3"/>
    <w:next w:val="Style_3"/>
    <w:link w:val="Style_14_ch"/>
    <w:uiPriority w:val="39"/>
    <w:pPr>
      <w:widowControl w:val="1"/>
      <w:ind w:left="400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Normal (Web)"/>
    <w:basedOn w:val="Style_3"/>
    <w:link w:val="Style_15_ch"/>
    <w:pPr>
      <w:widowControl w:val="1"/>
      <w:spacing w:afterAutospacing="on" w:beforeAutospacing="on"/>
      <w:ind/>
      <w:jc w:val="left"/>
    </w:pPr>
    <w:rPr>
      <w:color w:val="000000"/>
      <w:sz w:val="24"/>
    </w:rPr>
  </w:style>
  <w:style w:styleId="Style_15_ch" w:type="character">
    <w:name w:val="Normal (Web)"/>
    <w:basedOn w:val="Style_3_ch"/>
    <w:link w:val="Style_15"/>
    <w:rPr>
      <w:color w:val="000000"/>
      <w:sz w:val="24"/>
    </w:rPr>
  </w:style>
  <w:style w:styleId="Style_16" w:type="paragraph">
    <w:name w:val="footer"/>
    <w:basedOn w:val="Style_3"/>
    <w:link w:val="Style_16_ch"/>
    <w:pPr>
      <w:widowControl w:val="1"/>
      <w:tabs>
        <w:tab w:leader="none" w:pos="4677" w:val="center"/>
        <w:tab w:leader="none" w:pos="9355" w:val="right"/>
      </w:tabs>
      <w:ind/>
    </w:pPr>
  </w:style>
  <w:style w:styleId="Style_16_ch" w:type="character">
    <w:name w:val="footer"/>
    <w:basedOn w:val="Style_3_ch"/>
    <w:link w:val="Style_16"/>
  </w:style>
  <w:style w:styleId="Style_17" w:type="paragraph">
    <w:name w:val="heading 5"/>
    <w:next w:val="Style_3"/>
    <w:link w:val="Style_17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7_ch" w:type="character">
    <w:name w:val="heading 5"/>
    <w:link w:val="Style_17"/>
    <w:rPr>
      <w:rFonts w:ascii="XO Thames" w:hAnsi="XO Thames"/>
      <w:b w:val="1"/>
    </w:rPr>
  </w:style>
  <w:style w:styleId="Style_18" w:type="paragraph">
    <w:name w:val="heading 1"/>
    <w:next w:val="Style_3"/>
    <w:link w:val="Style_18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widowControl w:val="1"/>
      <w:ind w:firstLine="851"/>
      <w:jc w:val="both"/>
    </w:pPr>
    <w:rPr>
      <w:rFonts w:ascii="XO Thames" w:hAnsi="XO Thames"/>
    </w:rPr>
  </w:style>
  <w:style w:styleId="Style_20_ch" w:type="character">
    <w:name w:val="Footnote"/>
    <w:link w:val="Style_20"/>
    <w:rPr>
      <w:rFonts w:ascii="XO Thames" w:hAnsi="XO Thames"/>
    </w:rPr>
  </w:style>
  <w:style w:styleId="Style_21" w:type="paragraph">
    <w:name w:val="toc 1"/>
    <w:next w:val="Style_3"/>
    <w:link w:val="Style_21_ch"/>
    <w:uiPriority w:val="39"/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22_ch" w:type="character">
    <w:name w:val="Header and Footer"/>
    <w:link w:val="Style_22"/>
    <w:rPr>
      <w:rFonts w:ascii="XO Thames" w:hAnsi="XO Thames"/>
      <w:sz w:val="28"/>
    </w:rPr>
  </w:style>
  <w:style w:styleId="Style_23" w:type="paragraph">
    <w:name w:val="Обычный1"/>
    <w:link w:val="Style_23_ch"/>
    <w:rPr>
      <w:rFonts w:ascii="Times New Roman" w:hAnsi="Times New Roman"/>
      <w:sz w:val="28"/>
    </w:rPr>
  </w:style>
  <w:style w:styleId="Style_23_ch" w:type="character">
    <w:name w:val="Обычный1"/>
    <w:link w:val="Style_23"/>
    <w:rPr>
      <w:rFonts w:ascii="Times New Roman" w:hAnsi="Times New Roman"/>
      <w:sz w:val="28"/>
    </w:rPr>
  </w:style>
  <w:style w:styleId="Style_24" w:type="paragraph">
    <w:name w:val="toc 9"/>
    <w:next w:val="Style_3"/>
    <w:link w:val="Style_24_ch"/>
    <w:uiPriority w:val="39"/>
    <w:pPr>
      <w:widowControl w:val="1"/>
      <w:ind w:left="1600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toc 8"/>
    <w:next w:val="Style_3"/>
    <w:link w:val="Style_25_ch"/>
    <w:uiPriority w:val="39"/>
    <w:pPr>
      <w:widowControl w:val="1"/>
      <w:ind w:left="1400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Гиперссылка1"/>
    <w:link w:val="Style_26_ch"/>
    <w:rPr>
      <w:color w:val="0000FF"/>
      <w:u w:val="single"/>
    </w:rPr>
  </w:style>
  <w:style w:styleId="Style_26_ch" w:type="character">
    <w:name w:val="Гиперссылка1"/>
    <w:link w:val="Style_26"/>
    <w:rPr>
      <w:color w:val="0000FF"/>
      <w:u w:val="single"/>
    </w:rPr>
  </w:style>
  <w:style w:styleId="Style_27" w:type="paragraph">
    <w:name w:val="toc 5"/>
    <w:next w:val="Style_3"/>
    <w:link w:val="Style_27_ch"/>
    <w:uiPriority w:val="39"/>
    <w:pPr>
      <w:widowControl w:val="1"/>
      <w:ind w:left="800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1" w:type="paragraph">
    <w:name w:val="header"/>
    <w:basedOn w:val="Style_3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3_ch"/>
    <w:link w:val="Style_1"/>
  </w:style>
  <w:style w:styleId="Style_28" w:type="paragraph">
    <w:name w:val="Обычный1"/>
    <w:link w:val="Style_28_ch"/>
    <w:rPr>
      <w:rFonts w:ascii="Times New Roman" w:hAnsi="Times New Roman"/>
      <w:sz w:val="28"/>
    </w:rPr>
  </w:style>
  <w:style w:styleId="Style_28_ch" w:type="character">
    <w:name w:val="Обычный1"/>
    <w:link w:val="Style_28"/>
    <w:rPr>
      <w:rFonts w:ascii="Times New Roman" w:hAnsi="Times New Roman"/>
      <w:sz w:val="28"/>
    </w:rPr>
  </w:style>
  <w:style w:styleId="Style_29" w:type="paragraph">
    <w:name w:val="Гиперссылка1"/>
    <w:link w:val="Style_29_ch"/>
    <w:rPr>
      <w:color w:val="0000FF"/>
      <w:u w:val="single"/>
    </w:rPr>
  </w:style>
  <w:style w:styleId="Style_29_ch" w:type="character">
    <w:name w:val="Гиперссылка1"/>
    <w:link w:val="Style_29"/>
    <w:rPr>
      <w:color w:val="0000FF"/>
      <w:u w:val="single"/>
    </w:rPr>
  </w:style>
  <w:style w:styleId="Style_30" w:type="paragraph">
    <w:name w:val="Основной шрифт абзаца1"/>
    <w:link w:val="Style_30_ch"/>
  </w:style>
  <w:style w:styleId="Style_30_ch" w:type="character">
    <w:name w:val="Основной шрифт абзаца1"/>
    <w:link w:val="Style_30"/>
  </w:style>
  <w:style w:styleId="Style_31" w:type="paragraph">
    <w:name w:val="Balloon Text"/>
    <w:basedOn w:val="Style_3"/>
    <w:link w:val="Style_31_ch"/>
    <w:rPr>
      <w:rFonts w:ascii="Tahoma" w:hAnsi="Tahoma"/>
      <w:sz w:val="16"/>
    </w:rPr>
  </w:style>
  <w:style w:styleId="Style_31_ch" w:type="character">
    <w:name w:val="Balloon Text"/>
    <w:basedOn w:val="Style_3_ch"/>
    <w:link w:val="Style_31"/>
    <w:rPr>
      <w:rFonts w:ascii="Tahoma" w:hAnsi="Tahoma"/>
      <w:sz w:val="16"/>
    </w:rPr>
  </w:style>
  <w:style w:styleId="Style_32" w:type="paragraph">
    <w:name w:val="Subtitle"/>
    <w:next w:val="Style_3"/>
    <w:link w:val="Style_32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2" w:type="paragraph">
    <w:name w:val="Title"/>
    <w:basedOn w:val="Style_3"/>
    <w:link w:val="Style_2_ch"/>
    <w:uiPriority w:val="10"/>
    <w:qFormat/>
    <w:pPr>
      <w:widowControl w:val="1"/>
      <w:ind/>
      <w:jc w:val="center"/>
    </w:pPr>
  </w:style>
  <w:style w:styleId="Style_2_ch" w:type="character">
    <w:name w:val="Title"/>
    <w:basedOn w:val="Style_3_ch"/>
    <w:link w:val="Style_2"/>
  </w:style>
  <w:style w:styleId="Style_33" w:type="paragraph">
    <w:name w:val="heading 4"/>
    <w:next w:val="Style_3"/>
    <w:link w:val="Style_33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3_ch" w:type="character">
    <w:name w:val="heading 4"/>
    <w:link w:val="Style_33"/>
    <w:rPr>
      <w:rFonts w:ascii="XO Thames" w:hAnsi="XO Thames"/>
      <w:b w:val="1"/>
      <w:sz w:val="24"/>
    </w:rPr>
  </w:style>
  <w:style w:styleId="Style_34" w:type="paragraph">
    <w:name w:val="heading 2"/>
    <w:next w:val="Style_3"/>
    <w:link w:val="Style_34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4_ch" w:type="character">
    <w:name w:val="heading 2"/>
    <w:link w:val="Style_34"/>
    <w:rPr>
      <w:rFonts w:ascii="XO Thames" w:hAnsi="XO Thames"/>
      <w:b w:val="1"/>
      <w:sz w:val="28"/>
    </w:rPr>
  </w:style>
  <w:style w:styleId="Style_35" w:type="paragraph">
    <w:name w:val="Основной шрифт абзаца2"/>
    <w:link w:val="Style_35_ch"/>
  </w:style>
  <w:style w:styleId="Style_35_ch" w:type="character">
    <w:name w:val="Основной шрифт абзаца2"/>
    <w:link w:val="Style_35"/>
  </w:style>
  <w:style w:default="1" w:styleId="Style_3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2024-12-24T15:13:00Z</dcterms:created>
  <dcterms:modified xsi:type="dcterms:W3CDTF">2025-03-04T15:06:19Z</dcterms:modified>
</cp:coreProperties>
</file>