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27" w:rsidRPr="009B5627" w:rsidRDefault="009B5627" w:rsidP="009B5627">
      <w:pPr>
        <w:pStyle w:val="af3"/>
      </w:pPr>
      <w:r w:rsidRPr="009B5627">
        <w:t>П О С Т А Н О В Л Е Н И Е</w:t>
      </w:r>
    </w:p>
    <w:p w:rsidR="009B5627" w:rsidRPr="009B5627" w:rsidRDefault="009B5627" w:rsidP="009B5627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9B5627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9B5627" w:rsidRPr="009B5627" w:rsidRDefault="009B5627" w:rsidP="009B5627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9B5627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9B5627" w:rsidRPr="009B5627" w:rsidRDefault="009B5627" w:rsidP="009B5627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9B5627" w:rsidRPr="009B5627" w:rsidRDefault="009B5627" w:rsidP="009B5627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31</w:t>
      </w:r>
      <w:r w:rsidRPr="009B5627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01</w:t>
      </w:r>
      <w:r w:rsidRPr="009B5627">
        <w:rPr>
          <w:rFonts w:ascii="Times New Roman" w:eastAsia="Arial Unicode MS" w:hAnsi="Times New Roman"/>
          <w:spacing w:val="30"/>
          <w:sz w:val="32"/>
        </w:rPr>
        <w:t>.20</w:t>
      </w:r>
      <w:r>
        <w:rPr>
          <w:rFonts w:ascii="Times New Roman" w:eastAsia="Arial Unicode MS" w:hAnsi="Times New Roman"/>
          <w:spacing w:val="30"/>
          <w:sz w:val="32"/>
        </w:rPr>
        <w:t>23</w:t>
      </w:r>
      <w:r w:rsidRPr="009B5627">
        <w:rPr>
          <w:rFonts w:ascii="Times New Roman" w:eastAsia="Arial Unicode MS" w:hAnsi="Times New Roman"/>
          <w:spacing w:val="30"/>
          <w:sz w:val="32"/>
        </w:rPr>
        <w:t xml:space="preserve">                   г. Ставрополь                  </w:t>
      </w:r>
      <w:r>
        <w:rPr>
          <w:rFonts w:ascii="Times New Roman" w:eastAsia="Arial Unicode MS" w:hAnsi="Times New Roman"/>
          <w:spacing w:val="30"/>
          <w:sz w:val="32"/>
        </w:rPr>
        <w:t xml:space="preserve"> </w:t>
      </w:r>
      <w:r w:rsidRPr="009B5627">
        <w:rPr>
          <w:rFonts w:ascii="Times New Roman" w:eastAsia="Arial Unicode MS" w:hAnsi="Times New Roman"/>
          <w:spacing w:val="30"/>
          <w:sz w:val="32"/>
        </w:rPr>
        <w:t>№</w:t>
      </w:r>
      <w:r>
        <w:rPr>
          <w:rFonts w:ascii="Times New Roman" w:eastAsia="Arial Unicode MS" w:hAnsi="Times New Roman"/>
          <w:spacing w:val="30"/>
          <w:sz w:val="32"/>
        </w:rPr>
        <w:t xml:space="preserve"> 172</w:t>
      </w:r>
      <w:r w:rsidRPr="009B5627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1B3FD4" w:rsidRPr="003E3F88" w:rsidRDefault="001B3FD4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E35220" w:rsidRPr="003E3F88" w:rsidRDefault="00E3522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43BF0" w:rsidRPr="003E3F88" w:rsidRDefault="006208B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</w:rPr>
        <w:t xml:space="preserve">Об утверждении </w:t>
      </w:r>
      <w:r w:rsidRPr="003E3F88">
        <w:rPr>
          <w:rFonts w:ascii="Times New Roman" w:hAnsi="Times New Roman"/>
          <w:sz w:val="28"/>
          <w:szCs w:val="28"/>
        </w:rPr>
        <w:t>бюджетного прогноза муниципального образования города Ставрополя Ставропольского края на период до 2028 года</w:t>
      </w:r>
    </w:p>
    <w:p w:rsidR="000D5262" w:rsidRPr="003E3F88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3E3F88" w:rsidRDefault="00C43BF0" w:rsidP="00E352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3E3F88">
        <w:rPr>
          <w:rFonts w:ascii="Times New Roman" w:hAnsi="Times New Roman"/>
          <w:sz w:val="28"/>
          <w:szCs w:val="28"/>
        </w:rPr>
        <w:t>с</w:t>
      </w:r>
      <w:r w:rsidR="003975E9" w:rsidRPr="003E3F88">
        <w:rPr>
          <w:rFonts w:ascii="Times New Roman" w:hAnsi="Times New Roman"/>
          <w:sz w:val="28"/>
          <w:szCs w:val="28"/>
        </w:rPr>
        <w:t xml:space="preserve"> </w:t>
      </w:r>
      <w:r w:rsidR="008E353B" w:rsidRPr="003E3F88">
        <w:rPr>
          <w:rFonts w:ascii="Times New Roman" w:hAnsi="Times New Roman"/>
          <w:sz w:val="28"/>
          <w:szCs w:val="28"/>
        </w:rPr>
        <w:t>Бюджетным</w:t>
      </w:r>
      <w:r w:rsidR="003975E9" w:rsidRPr="003E3F88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3E3F88">
        <w:rPr>
          <w:rFonts w:ascii="Times New Roman" w:hAnsi="Times New Roman"/>
          <w:sz w:val="28"/>
          <w:szCs w:val="28"/>
        </w:rPr>
        <w:t>ом</w:t>
      </w:r>
      <w:r w:rsidR="003975E9" w:rsidRPr="003E3F8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3E3F88">
        <w:rPr>
          <w:rFonts w:ascii="Times New Roman" w:hAnsi="Times New Roman"/>
          <w:sz w:val="28"/>
          <w:szCs w:val="28"/>
        </w:rPr>
        <w:t xml:space="preserve"> </w:t>
      </w:r>
      <w:r w:rsidR="006A4248" w:rsidRPr="003E3F88">
        <w:rPr>
          <w:rFonts w:ascii="Times New Roman" w:hAnsi="Times New Roman"/>
          <w:sz w:val="28"/>
          <w:szCs w:val="28"/>
        </w:rPr>
        <w:t>Ф</w:t>
      </w:r>
      <w:r w:rsidR="008E353B" w:rsidRPr="003E3F88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3E3F88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3E3F88">
        <w:rPr>
          <w:rFonts w:ascii="Times New Roman" w:hAnsi="Times New Roman"/>
          <w:sz w:val="28"/>
          <w:szCs w:val="28"/>
        </w:rPr>
        <w:t xml:space="preserve">г. № </w:t>
      </w:r>
      <w:r w:rsidR="000D5262" w:rsidRPr="003E3F88">
        <w:rPr>
          <w:rFonts w:ascii="Times New Roman" w:hAnsi="Times New Roman"/>
          <w:sz w:val="28"/>
          <w:szCs w:val="28"/>
        </w:rPr>
        <w:t>172</w:t>
      </w:r>
      <w:r w:rsidR="008E353B" w:rsidRPr="003E3F88">
        <w:rPr>
          <w:rFonts w:ascii="Times New Roman" w:hAnsi="Times New Roman"/>
          <w:sz w:val="28"/>
          <w:szCs w:val="28"/>
        </w:rPr>
        <w:t>-ФЗ «</w:t>
      </w:r>
      <w:r w:rsidR="000D5262" w:rsidRPr="003E3F88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3E3F88">
        <w:rPr>
          <w:rFonts w:ascii="Times New Roman" w:hAnsi="Times New Roman"/>
          <w:sz w:val="28"/>
          <w:szCs w:val="28"/>
        </w:rPr>
        <w:t>»</w:t>
      </w:r>
      <w:r w:rsidR="003975E9" w:rsidRPr="003E3F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3E3F88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 w:rsidRPr="003E3F88">
        <w:rPr>
          <w:sz w:val="28"/>
          <w:szCs w:val="28"/>
        </w:rPr>
        <w:t xml:space="preserve"> </w:t>
      </w:r>
      <w:r w:rsidR="003975E9" w:rsidRPr="003E3F88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3E3F88">
        <w:rPr>
          <w:rFonts w:ascii="Times New Roman" w:hAnsi="Times New Roman"/>
          <w:sz w:val="28"/>
          <w:szCs w:val="28"/>
        </w:rPr>
        <w:t>06.08.2015</w:t>
      </w:r>
      <w:r w:rsidR="003975E9" w:rsidRPr="003E3F8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3E3F88">
        <w:rPr>
          <w:rFonts w:ascii="Times New Roman" w:hAnsi="Times New Roman"/>
          <w:sz w:val="28"/>
          <w:szCs w:val="28"/>
        </w:rPr>
        <w:t xml:space="preserve">1746 </w:t>
      </w:r>
      <w:r w:rsidR="003975E9" w:rsidRPr="003E3F88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3E3F88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3E3F88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3E3F88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F0" w:rsidRPr="003E3F88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</w:rPr>
        <w:t>ПОСТАНОВЛЯЮ:</w:t>
      </w:r>
    </w:p>
    <w:p w:rsidR="00C43BF0" w:rsidRPr="003E3F88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0DBF" w:rsidRPr="003E3F88" w:rsidRDefault="00E50DBF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</w:rPr>
        <w:t>1.</w:t>
      </w:r>
      <w:r w:rsidRPr="003E3F88">
        <w:rPr>
          <w:rFonts w:ascii="Times New Roman" w:hAnsi="Times New Roman"/>
          <w:sz w:val="28"/>
          <w:szCs w:val="28"/>
        </w:rPr>
        <w:t> </w:t>
      </w:r>
      <w:r w:rsidRPr="003E3F88">
        <w:rPr>
          <w:rFonts w:ascii="Times New Roman" w:hAnsi="Times New Roman"/>
          <w:sz w:val="28"/>
        </w:rPr>
        <w:t xml:space="preserve">Утвердить </w:t>
      </w:r>
      <w:r w:rsidRPr="003E3F88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до 2028 года </w:t>
      </w:r>
      <w:r w:rsidRPr="003E3F88">
        <w:rPr>
          <w:rFonts w:ascii="Times New Roman" w:hAnsi="Times New Roman"/>
          <w:sz w:val="28"/>
        </w:rPr>
        <w:t>согласно приложению.</w:t>
      </w:r>
    </w:p>
    <w:p w:rsidR="00E50DBF" w:rsidRPr="003E3F88" w:rsidRDefault="00E50DBF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</w:rPr>
        <w:t>2. Признать утратившими силу:</w:t>
      </w:r>
    </w:p>
    <w:p w:rsidR="00E50DBF" w:rsidRPr="00D10CDE" w:rsidRDefault="00E50DBF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</w:t>
      </w:r>
      <w:r w:rsidR="002D0B4C" w:rsidRPr="003E3F88">
        <w:rPr>
          <w:rFonts w:ascii="Times New Roman" w:hAnsi="Times New Roman"/>
          <w:sz w:val="28"/>
          <w:szCs w:val="28"/>
        </w:rPr>
        <w:t xml:space="preserve">от 10.02.2020 </w:t>
      </w:r>
      <w:r w:rsidR="001B3FD4" w:rsidRPr="003E3F88">
        <w:rPr>
          <w:rFonts w:ascii="Times New Roman" w:hAnsi="Times New Roman"/>
          <w:sz w:val="28"/>
          <w:szCs w:val="28"/>
        </w:rPr>
        <w:t xml:space="preserve">                </w:t>
      </w:r>
      <w:r w:rsidR="002D0B4C" w:rsidRPr="003E3F88">
        <w:rPr>
          <w:rFonts w:ascii="Times New Roman" w:hAnsi="Times New Roman"/>
          <w:sz w:val="28"/>
          <w:szCs w:val="28"/>
        </w:rPr>
        <w:t>№ 206 «</w:t>
      </w:r>
      <w:r w:rsidR="002D0B4C" w:rsidRPr="003E3F88">
        <w:rPr>
          <w:rFonts w:ascii="Times New Roman" w:hAnsi="Times New Roman"/>
          <w:sz w:val="28"/>
        </w:rPr>
        <w:t xml:space="preserve">Об утверждении </w:t>
      </w:r>
      <w:r w:rsidR="002D0B4C" w:rsidRPr="003E3F88">
        <w:rPr>
          <w:rFonts w:ascii="Times New Roman" w:hAnsi="Times New Roman"/>
          <w:sz w:val="28"/>
          <w:szCs w:val="28"/>
        </w:rPr>
        <w:t xml:space="preserve">бюджетного прогноза муниципального </w:t>
      </w:r>
      <w:r w:rsidR="001B3FD4" w:rsidRPr="003E3F88">
        <w:rPr>
          <w:rFonts w:ascii="Times New Roman" w:hAnsi="Times New Roman"/>
          <w:sz w:val="28"/>
          <w:szCs w:val="28"/>
        </w:rPr>
        <w:t xml:space="preserve">                </w:t>
      </w:r>
      <w:r w:rsidR="002D0B4C" w:rsidRPr="003E3F88">
        <w:rPr>
          <w:rFonts w:ascii="Times New Roman" w:hAnsi="Times New Roman"/>
          <w:sz w:val="28"/>
          <w:szCs w:val="28"/>
        </w:rPr>
        <w:t xml:space="preserve">образования города Ставрополя Ставропольского края на период </w:t>
      </w:r>
      <w:r w:rsidR="001B3FD4" w:rsidRPr="003E3F88">
        <w:rPr>
          <w:rFonts w:ascii="Times New Roman" w:hAnsi="Times New Roman"/>
          <w:sz w:val="28"/>
          <w:szCs w:val="28"/>
        </w:rPr>
        <w:t xml:space="preserve">                     </w:t>
      </w:r>
      <w:r w:rsidR="002D0B4C" w:rsidRPr="003E3F88">
        <w:rPr>
          <w:rFonts w:ascii="Times New Roman" w:hAnsi="Times New Roman"/>
          <w:sz w:val="28"/>
          <w:szCs w:val="28"/>
        </w:rPr>
        <w:t xml:space="preserve">до </w:t>
      </w:r>
      <w:r w:rsidR="002D0B4C" w:rsidRPr="00D10CDE">
        <w:rPr>
          <w:rFonts w:ascii="Times New Roman" w:hAnsi="Times New Roman"/>
          <w:sz w:val="28"/>
          <w:szCs w:val="28"/>
        </w:rPr>
        <w:t>2025 года»</w:t>
      </w:r>
      <w:r w:rsidRPr="00D10CDE">
        <w:rPr>
          <w:rFonts w:ascii="Times New Roman" w:hAnsi="Times New Roman"/>
          <w:sz w:val="28"/>
          <w:szCs w:val="28"/>
        </w:rPr>
        <w:t>;</w:t>
      </w:r>
    </w:p>
    <w:p w:rsidR="002956BE" w:rsidRPr="00D10CDE" w:rsidRDefault="002956BE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0CDE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12.11.2020 </w:t>
      </w:r>
      <w:r w:rsidRPr="00D10CDE">
        <w:rPr>
          <w:rFonts w:ascii="Times New Roman" w:hAnsi="Times New Roman"/>
          <w:sz w:val="28"/>
          <w:szCs w:val="28"/>
        </w:rPr>
        <w:br/>
        <w:t xml:space="preserve">№ 1916 «О проекте изменений бюджетного прогноза муниципального образования города Ставрополя Ставропольского края на период </w:t>
      </w:r>
      <w:r w:rsidRPr="00D10CDE">
        <w:rPr>
          <w:rFonts w:ascii="Times New Roman" w:hAnsi="Times New Roman"/>
          <w:sz w:val="28"/>
          <w:szCs w:val="28"/>
        </w:rPr>
        <w:br/>
        <w:t>до 2025 года, утвержденный постановлением администрации города Ставрополя от 10.02.2020 № 206»;</w:t>
      </w:r>
    </w:p>
    <w:p w:rsidR="00E50DBF" w:rsidRPr="003E3F88" w:rsidRDefault="00E50DBF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10CDE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</w:t>
      </w:r>
      <w:r w:rsidRPr="00D10CDE">
        <w:rPr>
          <w:rFonts w:ascii="Times New Roman" w:hAnsi="Times New Roman"/>
          <w:sz w:val="28"/>
          <w:szCs w:val="28"/>
        </w:rPr>
        <w:t xml:space="preserve">от </w:t>
      </w:r>
      <w:r w:rsidR="00BB0A19" w:rsidRPr="00D10CDE">
        <w:rPr>
          <w:rFonts w:ascii="Times New Roman" w:hAnsi="Times New Roman"/>
          <w:sz w:val="28"/>
          <w:szCs w:val="28"/>
        </w:rPr>
        <w:t>08</w:t>
      </w:r>
      <w:r w:rsidRPr="00D10CDE">
        <w:rPr>
          <w:rFonts w:ascii="Times New Roman" w:hAnsi="Times New Roman"/>
          <w:sz w:val="28"/>
          <w:szCs w:val="28"/>
        </w:rPr>
        <w:t>.</w:t>
      </w:r>
      <w:r w:rsidR="00BB0A19" w:rsidRPr="00D10CDE">
        <w:rPr>
          <w:rFonts w:ascii="Times New Roman" w:hAnsi="Times New Roman"/>
          <w:sz w:val="28"/>
          <w:szCs w:val="28"/>
        </w:rPr>
        <w:t>0</w:t>
      </w:r>
      <w:r w:rsidRPr="00D10CDE">
        <w:rPr>
          <w:rFonts w:ascii="Times New Roman" w:hAnsi="Times New Roman"/>
          <w:sz w:val="28"/>
          <w:szCs w:val="28"/>
        </w:rPr>
        <w:t>2.20</w:t>
      </w:r>
      <w:r w:rsidR="00BB0A19" w:rsidRPr="00D10CDE">
        <w:rPr>
          <w:rFonts w:ascii="Times New Roman" w:hAnsi="Times New Roman"/>
          <w:sz w:val="28"/>
          <w:szCs w:val="28"/>
        </w:rPr>
        <w:t>2</w:t>
      </w:r>
      <w:r w:rsidRPr="00D10CDE">
        <w:rPr>
          <w:rFonts w:ascii="Times New Roman" w:hAnsi="Times New Roman"/>
          <w:sz w:val="28"/>
          <w:szCs w:val="28"/>
        </w:rPr>
        <w:t>1</w:t>
      </w:r>
      <w:r w:rsidR="001B3FD4" w:rsidRPr="00D10CDE">
        <w:rPr>
          <w:rFonts w:ascii="Times New Roman" w:hAnsi="Times New Roman"/>
          <w:sz w:val="28"/>
          <w:szCs w:val="28"/>
        </w:rPr>
        <w:t xml:space="preserve">                      </w:t>
      </w:r>
      <w:r w:rsidRPr="00D10CDE">
        <w:rPr>
          <w:rFonts w:ascii="Times New Roman" w:hAnsi="Times New Roman"/>
          <w:sz w:val="28"/>
          <w:szCs w:val="28"/>
        </w:rPr>
        <w:t xml:space="preserve"> № 21</w:t>
      </w:r>
      <w:r w:rsidR="00BB0A19" w:rsidRPr="00D10CDE">
        <w:rPr>
          <w:rFonts w:ascii="Times New Roman" w:hAnsi="Times New Roman"/>
          <w:sz w:val="28"/>
          <w:szCs w:val="28"/>
        </w:rPr>
        <w:t>3</w:t>
      </w:r>
      <w:r w:rsidRPr="00D10CDE">
        <w:rPr>
          <w:rFonts w:ascii="Times New Roman" w:hAnsi="Times New Roman"/>
          <w:sz w:val="28"/>
          <w:szCs w:val="28"/>
        </w:rPr>
        <w:t xml:space="preserve"> «</w:t>
      </w:r>
      <w:r w:rsidRPr="00D10CDE">
        <w:rPr>
          <w:rFonts w:ascii="Times New Roman" w:hAnsi="Times New Roman"/>
          <w:sz w:val="28"/>
        </w:rPr>
        <w:t>О внесении изменений</w:t>
      </w:r>
      <w:r w:rsidRPr="003E3F88">
        <w:rPr>
          <w:rFonts w:ascii="Times New Roman" w:hAnsi="Times New Roman"/>
          <w:sz w:val="28"/>
        </w:rPr>
        <w:t xml:space="preserve"> в </w:t>
      </w:r>
      <w:r w:rsidRPr="003E3F88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</w:t>
      </w:r>
      <w:r w:rsidR="001B3FD4" w:rsidRPr="003E3F88">
        <w:rPr>
          <w:rFonts w:ascii="Times New Roman" w:hAnsi="Times New Roman"/>
          <w:sz w:val="28"/>
          <w:szCs w:val="28"/>
        </w:rPr>
        <w:t xml:space="preserve">                            </w:t>
      </w:r>
      <w:r w:rsidRPr="003E3F88">
        <w:rPr>
          <w:rFonts w:ascii="Times New Roman" w:hAnsi="Times New Roman"/>
          <w:sz w:val="28"/>
          <w:szCs w:val="28"/>
        </w:rPr>
        <w:t>до 202</w:t>
      </w:r>
      <w:r w:rsidR="00BB0A19" w:rsidRPr="003E3F88">
        <w:rPr>
          <w:rFonts w:ascii="Times New Roman" w:hAnsi="Times New Roman"/>
          <w:sz w:val="28"/>
          <w:szCs w:val="28"/>
        </w:rPr>
        <w:t>5</w:t>
      </w:r>
      <w:r w:rsidRPr="003E3F88">
        <w:rPr>
          <w:rFonts w:ascii="Times New Roman" w:hAnsi="Times New Roman"/>
          <w:sz w:val="28"/>
          <w:szCs w:val="28"/>
        </w:rPr>
        <w:t xml:space="preserve"> года, утвержденный постановлением администрации города Ставрополя </w:t>
      </w:r>
      <w:r w:rsidR="00BB0A19" w:rsidRPr="003E3F88">
        <w:rPr>
          <w:rFonts w:ascii="Times New Roman" w:hAnsi="Times New Roman"/>
          <w:sz w:val="28"/>
          <w:szCs w:val="28"/>
        </w:rPr>
        <w:t>от 10.02.2020 № 206</w:t>
      </w:r>
      <w:r w:rsidRPr="003E3F88">
        <w:rPr>
          <w:rFonts w:ascii="Times New Roman" w:hAnsi="Times New Roman"/>
          <w:sz w:val="28"/>
          <w:szCs w:val="28"/>
        </w:rPr>
        <w:t>»;</w:t>
      </w:r>
    </w:p>
    <w:p w:rsidR="00E50DBF" w:rsidRPr="003E3F88" w:rsidRDefault="00BB0A19" w:rsidP="00E50D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</w:t>
      </w:r>
      <w:r w:rsidRPr="003E3F88">
        <w:rPr>
          <w:rFonts w:ascii="Times New Roman" w:hAnsi="Times New Roman"/>
          <w:sz w:val="28"/>
          <w:szCs w:val="28"/>
        </w:rPr>
        <w:t>от 25.01.2022 № 116 «</w:t>
      </w:r>
      <w:r w:rsidRPr="003E3F88">
        <w:rPr>
          <w:rFonts w:ascii="Times New Roman" w:hAnsi="Times New Roman"/>
          <w:sz w:val="28"/>
        </w:rPr>
        <w:t xml:space="preserve">О внесении изменений в </w:t>
      </w:r>
      <w:r w:rsidRPr="003E3F88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до 2025 года, утвержденный постановлением администрации города Ставрополя </w:t>
      </w:r>
      <w:r w:rsidRPr="003E3F88">
        <w:rPr>
          <w:rFonts w:ascii="Times New Roman" w:hAnsi="Times New Roman"/>
          <w:sz w:val="28"/>
          <w:szCs w:val="28"/>
        </w:rPr>
        <w:lastRenderedPageBreak/>
        <w:t>от 10.02.2020 № 206»</w:t>
      </w:r>
      <w:r w:rsidR="00E50DBF" w:rsidRPr="003E3F88">
        <w:rPr>
          <w:rFonts w:ascii="Times New Roman" w:hAnsi="Times New Roman"/>
          <w:sz w:val="28"/>
          <w:szCs w:val="28"/>
        </w:rPr>
        <w:t>.</w:t>
      </w:r>
    </w:p>
    <w:p w:rsidR="009E0C57" w:rsidRPr="003E3F88" w:rsidRDefault="00E50DBF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3</w:t>
      </w:r>
      <w:r w:rsidR="009E0C57" w:rsidRPr="003E3F88">
        <w:rPr>
          <w:rFonts w:ascii="Times New Roman" w:hAnsi="Times New Roman"/>
          <w:sz w:val="28"/>
          <w:szCs w:val="28"/>
          <w:lang w:eastAsia="ru-RU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3E3F88" w:rsidRDefault="00E50DBF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</w:rPr>
        <w:t>4</w:t>
      </w:r>
      <w:r w:rsidR="00D52F09" w:rsidRPr="003E3F88">
        <w:rPr>
          <w:rFonts w:ascii="Times New Roman" w:hAnsi="Times New Roman"/>
          <w:sz w:val="28"/>
        </w:rPr>
        <w:t>.</w:t>
      </w:r>
      <w:r w:rsidR="00156F18" w:rsidRPr="003E3F88">
        <w:rPr>
          <w:rFonts w:ascii="Times New Roman" w:hAnsi="Times New Roman"/>
          <w:sz w:val="28"/>
          <w:szCs w:val="28"/>
        </w:rPr>
        <w:t> </w:t>
      </w:r>
      <w:r w:rsidR="00D52F09" w:rsidRPr="003E3F88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города Ставрополя</w:t>
      </w:r>
      <w:r w:rsidR="00F866D3" w:rsidRPr="003E3F88">
        <w:rPr>
          <w:rFonts w:ascii="Times New Roman" w:hAnsi="Times New Roman"/>
          <w:sz w:val="28"/>
          <w:szCs w:val="28"/>
          <w:lang w:eastAsia="ru-RU"/>
        </w:rPr>
        <w:t>, руководителя комитета финансов и бюджета администрации города Ставрополя</w:t>
      </w:r>
      <w:r w:rsidR="00D52F09" w:rsidRPr="003E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 w:rsidRPr="003E3F88">
        <w:rPr>
          <w:rFonts w:ascii="Times New Roman" w:hAnsi="Times New Roman"/>
          <w:sz w:val="28"/>
          <w:szCs w:val="28"/>
          <w:lang w:eastAsia="ru-RU"/>
        </w:rPr>
        <w:t>Бондаренко</w:t>
      </w:r>
      <w:r w:rsidR="009E7575" w:rsidRPr="003E3F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 w:rsidRPr="003E3F88">
        <w:rPr>
          <w:rFonts w:ascii="Times New Roman" w:hAnsi="Times New Roman"/>
          <w:sz w:val="28"/>
          <w:szCs w:val="28"/>
          <w:lang w:eastAsia="ru-RU"/>
        </w:rPr>
        <w:t>Н</w:t>
      </w:r>
      <w:r w:rsidR="009E7575" w:rsidRPr="003E3F88">
        <w:rPr>
          <w:rFonts w:ascii="Times New Roman" w:hAnsi="Times New Roman"/>
          <w:sz w:val="28"/>
          <w:szCs w:val="28"/>
          <w:lang w:eastAsia="ru-RU"/>
        </w:rPr>
        <w:t>.</w:t>
      </w:r>
      <w:r w:rsidR="00F866D3" w:rsidRPr="003E3F88">
        <w:rPr>
          <w:rFonts w:ascii="Times New Roman" w:hAnsi="Times New Roman"/>
          <w:sz w:val="28"/>
          <w:szCs w:val="28"/>
          <w:lang w:eastAsia="ru-RU"/>
        </w:rPr>
        <w:t>А</w:t>
      </w:r>
      <w:r w:rsidR="009E7575" w:rsidRPr="003E3F88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3E3F88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FD4" w:rsidRPr="003E3F88" w:rsidRDefault="001B3FD4" w:rsidP="00B21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FD4" w:rsidRPr="003E3F88" w:rsidRDefault="001B3FD4" w:rsidP="00B21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F0" w:rsidRPr="003E3F88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Глава города Ставрополя</w:t>
      </w:r>
      <w:r w:rsidRPr="003E3F88">
        <w:rPr>
          <w:rFonts w:ascii="Times New Roman" w:hAnsi="Times New Roman"/>
          <w:sz w:val="28"/>
          <w:szCs w:val="28"/>
        </w:rPr>
        <w:tab/>
      </w:r>
      <w:r w:rsidRPr="003E3F88">
        <w:rPr>
          <w:rFonts w:ascii="Times New Roman" w:hAnsi="Times New Roman"/>
          <w:sz w:val="28"/>
          <w:szCs w:val="28"/>
        </w:rPr>
        <w:tab/>
      </w:r>
      <w:r w:rsidRPr="003E3F88">
        <w:rPr>
          <w:rFonts w:ascii="Times New Roman" w:hAnsi="Times New Roman"/>
          <w:sz w:val="28"/>
          <w:szCs w:val="28"/>
        </w:rPr>
        <w:tab/>
      </w:r>
      <w:r w:rsidRPr="003E3F88">
        <w:rPr>
          <w:rFonts w:ascii="Times New Roman" w:hAnsi="Times New Roman"/>
          <w:sz w:val="28"/>
          <w:szCs w:val="28"/>
        </w:rPr>
        <w:tab/>
      </w:r>
      <w:r w:rsidRPr="003E3F88">
        <w:rPr>
          <w:rFonts w:ascii="Times New Roman" w:hAnsi="Times New Roman"/>
          <w:sz w:val="28"/>
          <w:szCs w:val="28"/>
        </w:rPr>
        <w:tab/>
      </w:r>
      <w:r w:rsidRPr="003E3F88">
        <w:rPr>
          <w:rFonts w:ascii="Times New Roman" w:hAnsi="Times New Roman"/>
          <w:sz w:val="28"/>
          <w:szCs w:val="28"/>
        </w:rPr>
        <w:tab/>
      </w:r>
      <w:r w:rsidR="00782E29" w:rsidRPr="003E3F88">
        <w:rPr>
          <w:rFonts w:ascii="Times New Roman" w:hAnsi="Times New Roman"/>
          <w:sz w:val="28"/>
          <w:szCs w:val="28"/>
        </w:rPr>
        <w:t xml:space="preserve"> </w:t>
      </w:r>
      <w:r w:rsidRPr="003E3F88">
        <w:rPr>
          <w:rFonts w:ascii="Times New Roman" w:hAnsi="Times New Roman"/>
          <w:sz w:val="28"/>
          <w:szCs w:val="28"/>
        </w:rPr>
        <w:t xml:space="preserve">  </w:t>
      </w:r>
      <w:r w:rsidR="00F866D3" w:rsidRPr="003E3F88">
        <w:rPr>
          <w:rFonts w:ascii="Times New Roman" w:hAnsi="Times New Roman"/>
          <w:sz w:val="28"/>
          <w:szCs w:val="28"/>
        </w:rPr>
        <w:t>И</w:t>
      </w:r>
      <w:r w:rsidRPr="003E3F88">
        <w:rPr>
          <w:rFonts w:ascii="Times New Roman" w:hAnsi="Times New Roman"/>
          <w:sz w:val="28"/>
          <w:szCs w:val="28"/>
        </w:rPr>
        <w:t>.</w:t>
      </w:r>
      <w:r w:rsidR="00F866D3" w:rsidRPr="003E3F88">
        <w:rPr>
          <w:rFonts w:ascii="Times New Roman" w:hAnsi="Times New Roman"/>
          <w:sz w:val="28"/>
          <w:szCs w:val="28"/>
        </w:rPr>
        <w:t>И</w:t>
      </w:r>
      <w:r w:rsidRPr="003E3F88">
        <w:rPr>
          <w:rFonts w:ascii="Times New Roman" w:hAnsi="Times New Roman"/>
          <w:sz w:val="28"/>
          <w:szCs w:val="28"/>
        </w:rPr>
        <w:t xml:space="preserve">. </w:t>
      </w:r>
      <w:r w:rsidR="00F866D3" w:rsidRPr="003E3F88">
        <w:rPr>
          <w:rFonts w:ascii="Times New Roman" w:hAnsi="Times New Roman"/>
          <w:sz w:val="28"/>
          <w:szCs w:val="28"/>
        </w:rPr>
        <w:t>Ульянченко</w:t>
      </w:r>
    </w:p>
    <w:p w:rsidR="00DA7949" w:rsidRDefault="00DA7949" w:rsidP="00B216EB">
      <w:pPr>
        <w:widowControl w:val="0"/>
        <w:rPr>
          <w:highlight w:val="yellow"/>
        </w:rPr>
      </w:pPr>
    </w:p>
    <w:p w:rsidR="00DD1CA2" w:rsidRDefault="00DD1CA2" w:rsidP="00B216EB">
      <w:pPr>
        <w:widowControl w:val="0"/>
        <w:rPr>
          <w:highlight w:val="yellow"/>
        </w:rPr>
        <w:sectPr w:rsidR="00DD1CA2" w:rsidSect="009B5627">
          <w:headerReference w:type="default" r:id="rId8"/>
          <w:pgSz w:w="11907" w:h="16840" w:code="9"/>
          <w:pgMar w:top="1560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606" w:type="dxa"/>
        <w:tblLook w:val="04A0"/>
      </w:tblPr>
      <w:tblGrid>
        <w:gridCol w:w="2660"/>
        <w:gridCol w:w="6946"/>
      </w:tblGrid>
      <w:tr w:rsidR="004B363F" w:rsidRPr="003E3F88" w:rsidTr="00DA7949">
        <w:trPr>
          <w:trHeight w:val="781"/>
        </w:trPr>
        <w:tc>
          <w:tcPr>
            <w:tcW w:w="2660" w:type="dxa"/>
          </w:tcPr>
          <w:p w:rsidR="004B363F" w:rsidRPr="003E3F88" w:rsidRDefault="004B363F" w:rsidP="00F0233D">
            <w:pPr>
              <w:widowControl w:val="0"/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63F" w:rsidRPr="003E3F88" w:rsidRDefault="004B363F" w:rsidP="00F0233D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B363F" w:rsidRPr="003E3F88" w:rsidRDefault="004B363F" w:rsidP="00F0233D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 w:rsidR="004B363F" w:rsidRPr="003E3F88" w:rsidRDefault="004B363F" w:rsidP="00F0233D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B363F" w:rsidRPr="003E3F88" w:rsidRDefault="004B363F" w:rsidP="00F0233D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  <w:p w:rsidR="004B363F" w:rsidRPr="003E3F88" w:rsidRDefault="004B363F" w:rsidP="009B5627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9B5627">
              <w:rPr>
                <w:rFonts w:ascii="Times New Roman" w:hAnsi="Times New Roman"/>
                <w:sz w:val="28"/>
                <w:szCs w:val="28"/>
              </w:rPr>
              <w:t>31.01.2023</w:t>
            </w:r>
            <w:r w:rsidRPr="003E3F88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9B5627">
              <w:rPr>
                <w:rFonts w:ascii="Times New Roman" w:hAnsi="Times New Roman"/>
                <w:sz w:val="28"/>
                <w:szCs w:val="28"/>
              </w:rPr>
              <w:t xml:space="preserve"> 172</w:t>
            </w:r>
            <w:r w:rsidRPr="003E3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B363F" w:rsidRDefault="004B363F" w:rsidP="004B363F">
      <w:pPr>
        <w:widowControl w:val="0"/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DD1CA2" w:rsidRPr="003E3F88" w:rsidRDefault="00DD1CA2" w:rsidP="004B363F">
      <w:pPr>
        <w:widowControl w:val="0"/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4B363F" w:rsidRPr="003E3F88" w:rsidRDefault="004B363F" w:rsidP="004B363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БЮДЖЕТНЫЙ ПРОГНОЗ</w:t>
      </w:r>
    </w:p>
    <w:p w:rsidR="004B363F" w:rsidRPr="003E3F88" w:rsidRDefault="004B363F" w:rsidP="004B363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муниципального образования города Ставрополя</w:t>
      </w:r>
    </w:p>
    <w:p w:rsidR="004B363F" w:rsidRPr="003E3F88" w:rsidRDefault="004B363F" w:rsidP="004B363F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  <w:szCs w:val="28"/>
        </w:rPr>
        <w:t>Ставропольского края на период до 2028 года</w:t>
      </w:r>
    </w:p>
    <w:p w:rsidR="004B363F" w:rsidRPr="003E3F88" w:rsidRDefault="004B363F" w:rsidP="004B363F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4B363F" w:rsidRPr="003E3F88" w:rsidRDefault="004B363F" w:rsidP="00DD1CA2">
      <w:pPr>
        <w:pStyle w:val="ConsPlusNormal"/>
        <w:widowControl w:val="0"/>
        <w:spacing w:line="245" w:lineRule="auto"/>
        <w:ind w:firstLine="709"/>
        <w:jc w:val="both"/>
      </w:pPr>
      <w:r w:rsidRPr="003E3F88">
        <w:t>Бюджетный прогноз муниципального образования города Ставрополя Ставропольского края на период до 2028 года (далее – бюджетный прогноз города Ставрополя) разработан в соответствии со статьей 170.1 Бюджетного кодекса Российской Федерации, статьей 11 Федерального закона от 28 июня 2014 г. № 172-ФЗ «О стратегическом планировании в Российской Федерации», статьей 7 Положения о бюджетном процессе в городе Ставрополе, утвержденного решением Ставропольской городской                      Думы от 28 сентября 2005 года № 117, Порядком разработки и                    утверждения бюджетного прогноза муниципального образования                          города Ставрополя Ставропольского края на долгосрочный период, утвержденным постановлением администрации города Ставрополя                           от 06.08.2015 № 1746.</w:t>
      </w:r>
    </w:p>
    <w:p w:rsidR="004B363F" w:rsidRPr="003E3F88" w:rsidRDefault="004B363F" w:rsidP="00DD1CA2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Бюджетный прогноз </w:t>
      </w:r>
      <w:r w:rsidR="00DD1CA2" w:rsidRPr="00DD1CA2">
        <w:rPr>
          <w:rFonts w:ascii="Times New Roman" w:hAnsi="Times New Roman"/>
          <w:sz w:val="28"/>
          <w:szCs w:val="28"/>
          <w:lang w:eastAsia="ru-RU"/>
        </w:rPr>
        <w:t xml:space="preserve">города Ставрополя 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определяет основные направления налоговой, бюджетной и долговой политики и основные характеристики бюджета города Ставрополя на долгосрочный период. Подходы к формированию бюджетного прогноза </w:t>
      </w:r>
      <w:r w:rsidR="00DD1CA2" w:rsidRPr="00DD1CA2">
        <w:rPr>
          <w:rFonts w:ascii="Times New Roman" w:hAnsi="Times New Roman"/>
          <w:sz w:val="28"/>
          <w:szCs w:val="28"/>
          <w:lang w:eastAsia="ru-RU"/>
        </w:rPr>
        <w:t xml:space="preserve">города Ставрополя </w:t>
      </w:r>
      <w:r w:rsidR="00DD1CA2">
        <w:rPr>
          <w:rFonts w:ascii="Times New Roman" w:hAnsi="Times New Roman"/>
          <w:sz w:val="28"/>
          <w:szCs w:val="28"/>
          <w:lang w:eastAsia="ru-RU"/>
        </w:rPr>
        <w:t>во многом обусловлены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 итогами реализации бюджетной политики города Ставрополя за предыдущие годы.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Основные итоги реализации бюджетной политики города Ставрополя, условия формирования бюджетного прогноза 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города Ставрополя в 2022 году</w:t>
      </w:r>
    </w:p>
    <w:p w:rsidR="004B363F" w:rsidRPr="003E3F88" w:rsidRDefault="004B363F" w:rsidP="004B363F">
      <w:pPr>
        <w:pStyle w:val="ConsPlusNormal"/>
        <w:widowControl w:val="0"/>
        <w:ind w:firstLine="709"/>
        <w:jc w:val="both"/>
      </w:pPr>
    </w:p>
    <w:p w:rsidR="004B363F" w:rsidRPr="003E3F88" w:rsidRDefault="004B363F" w:rsidP="00DD1CA2">
      <w:pPr>
        <w:widowControl w:val="0"/>
        <w:autoSpaceDE w:val="0"/>
        <w:autoSpaceDN w:val="0"/>
        <w:adjustRightInd w:val="0"/>
        <w:spacing w:after="0" w:line="245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Ключевые направления развития города Ставрополя в бюджетно-финансовой сфере определялись требованиями бюджетного законодательства Российской Федерации, задачами, поставленными указами Президента Российской Федерации от 7 мая 2018 года № 204 «О национальных целях и стратегических задачах развития Российской Федерации на период до 2024 года», от 21 июля 2020 года № 474 «О национальных целях развития Российской Федерации на период до 2030 года», Посланиями Президента Российской Федерации                 Федеральному Собранию Российской Федерации, решением           Ставропольской городской Думы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t xml:space="preserve"> от 26 марта 2021 г. № 547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 «О Стратегии социально-экономического развития города Ставрополя до 2035 года», муниципальной программой города Ставрополя «</w:t>
      </w:r>
      <w:r w:rsidRPr="003E3F88">
        <w:rPr>
          <w:rFonts w:ascii="Times New Roman" w:hAnsi="Times New Roman"/>
          <w:sz w:val="28"/>
        </w:rPr>
        <w:t xml:space="preserve">Управление </w:t>
      </w:r>
      <w:r w:rsidRPr="003E3F88">
        <w:rPr>
          <w:rFonts w:ascii="Times New Roman" w:hAnsi="Times New Roman"/>
          <w:sz w:val="28"/>
        </w:rPr>
        <w:lastRenderedPageBreak/>
        <w:t xml:space="preserve">муниципальными финансами и муниципальным долгом города 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Ставрополя», утвержденной постановлением администрации города Ставрополя 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br/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от 14.11.2019 № 3216, Программой оздоровления муниципальных финансов города 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t>Ставрополя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 на 2018-2024 годы, утвержденной постановлением администрации города Ставрополя от 25.12.2018 № 2638, а также                     итогами реализации бюджетной, налоговой и долговой политики города Ставрополя в предшествующие периоды.</w:t>
      </w:r>
    </w:p>
    <w:p w:rsidR="004B363F" w:rsidRPr="003E3F88" w:rsidRDefault="004B363F" w:rsidP="00DD1C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На протяжении последних лет проводилась работа по реализации мер, направленных на повышение качества планирования и исполнения консолидированного бюджета, увеличения налоговых и неналоговых доходов, консолидацию бюджетных расходов и снижение                              долговой нагрузки.</w:t>
      </w:r>
    </w:p>
    <w:p w:rsidR="004B363F" w:rsidRPr="003E3F88" w:rsidRDefault="004B363F" w:rsidP="00DD1CA2">
      <w:pPr>
        <w:pStyle w:val="ConsPlusNormal"/>
        <w:widowControl w:val="0"/>
        <w:ind w:firstLine="709"/>
        <w:contextualSpacing/>
        <w:jc w:val="both"/>
      </w:pPr>
      <w:r w:rsidRPr="003E3F88">
        <w:t>Основные показатели исполнения бюджета города Ставрополя                         с 2017 по 2022 годы характеризуются следующими данными:</w:t>
      </w:r>
    </w:p>
    <w:p w:rsidR="004B363F" w:rsidRPr="003E3F88" w:rsidRDefault="004B363F" w:rsidP="004B363F">
      <w:pPr>
        <w:widowControl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B363F" w:rsidRPr="003E3F88" w:rsidRDefault="004B363F" w:rsidP="004B363F">
      <w:pPr>
        <w:pStyle w:val="ConsPlusNormal"/>
        <w:widowControl w:val="0"/>
        <w:jc w:val="right"/>
        <w:rPr>
          <w:sz w:val="20"/>
          <w:szCs w:val="20"/>
        </w:rPr>
      </w:pPr>
      <w:r w:rsidRPr="003E3F88">
        <w:rPr>
          <w:sz w:val="20"/>
          <w:szCs w:val="20"/>
        </w:rPr>
        <w:t>млн рублей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1034"/>
        <w:gridCol w:w="1034"/>
        <w:gridCol w:w="1034"/>
        <w:gridCol w:w="1034"/>
        <w:gridCol w:w="1034"/>
        <w:gridCol w:w="1034"/>
      </w:tblGrid>
      <w:tr w:rsidR="004B363F" w:rsidRPr="003E3F88" w:rsidTr="00F0233D">
        <w:trPr>
          <w:cantSplit/>
          <w:trHeight w:val="19"/>
          <w:tblHeader/>
        </w:trPr>
        <w:tc>
          <w:tcPr>
            <w:tcW w:w="3190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4B363F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9 292,2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10 237,5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12 466,6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14 221,6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16 533,4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18 023,8</w:t>
            </w:r>
          </w:p>
        </w:tc>
      </w:tr>
      <w:tr w:rsidR="004B363F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363F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3 549,8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3 823,5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4 677,4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4 844,0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5 704,5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6 342,9</w:t>
            </w:r>
          </w:p>
        </w:tc>
      </w:tr>
      <w:tr w:rsidR="004B363F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5 742,4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6 414,0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7 789,2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9 377,6</w:t>
            </w:r>
          </w:p>
        </w:tc>
        <w:tc>
          <w:tcPr>
            <w:tcW w:w="1034" w:type="dxa"/>
            <w:shd w:val="clear" w:color="auto" w:fill="auto"/>
            <w:noWrap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10 828,9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11 680,9</w:t>
            </w:r>
          </w:p>
        </w:tc>
      </w:tr>
      <w:tr w:rsidR="004B363F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9 821,7</w:t>
            </w:r>
          </w:p>
        </w:tc>
        <w:tc>
          <w:tcPr>
            <w:tcW w:w="1034" w:type="dxa"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10 525,5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12 925,3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14 122,7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16 358,9</w:t>
            </w:r>
          </w:p>
        </w:tc>
        <w:tc>
          <w:tcPr>
            <w:tcW w:w="1034" w:type="dxa"/>
          </w:tcPr>
          <w:p w:rsidR="004B363F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17 698,1</w:t>
            </w:r>
          </w:p>
        </w:tc>
      </w:tr>
      <w:tr w:rsidR="00971075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-529,5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-288,0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-458,7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325,7</w:t>
            </w:r>
          </w:p>
        </w:tc>
      </w:tr>
      <w:tr w:rsidR="00971075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1302,1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1671,9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2 125,3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2 123,5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2 098,5</w:t>
            </w:r>
          </w:p>
        </w:tc>
        <w:tc>
          <w:tcPr>
            <w:tcW w:w="1034" w:type="dxa"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E3F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989</w:t>
            </w: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</w:p>
        </w:tc>
      </w:tr>
      <w:tr w:rsidR="00F0233D" w:rsidRPr="003E3F88" w:rsidTr="00F0233D">
        <w:trPr>
          <w:cantSplit/>
          <w:trHeight w:val="19"/>
        </w:trPr>
        <w:tc>
          <w:tcPr>
            <w:tcW w:w="3190" w:type="dxa"/>
            <w:shd w:val="clear" w:color="auto" w:fill="auto"/>
            <w:noWrap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Отношение муниципального  долга к доходам бюджета города Ставрополя без учета безвозмездных поступлений (в %)</w:t>
            </w:r>
          </w:p>
        </w:tc>
        <w:tc>
          <w:tcPr>
            <w:tcW w:w="1034" w:type="dxa"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34" w:type="dxa"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34" w:type="dxa"/>
            <w:shd w:val="clear" w:color="auto" w:fill="auto"/>
            <w:noWrap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034" w:type="dxa"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</w:tr>
    </w:tbl>
    <w:p w:rsidR="004B363F" w:rsidRPr="003E3F88" w:rsidRDefault="004B363F" w:rsidP="004B363F">
      <w:pPr>
        <w:pStyle w:val="ConsPlusNormal"/>
        <w:widowControl w:val="0"/>
        <w:ind w:firstLine="709"/>
        <w:jc w:val="both"/>
      </w:pPr>
      <w:r w:rsidRPr="003E3F88">
        <w:t>Анализ показателей исполнения бюджета города Ставрополя в 201</w:t>
      </w:r>
      <w:r w:rsidR="005A5585" w:rsidRPr="003E3F88">
        <w:t>7</w:t>
      </w:r>
      <w:r w:rsidRPr="003E3F88">
        <w:t xml:space="preserve"> - 20</w:t>
      </w:r>
      <w:r w:rsidR="005A5585" w:rsidRPr="003E3F88">
        <w:t>19</w:t>
      </w:r>
      <w:r w:rsidRPr="003E3F88">
        <w:t xml:space="preserve"> годах отражает недостаток собственных финансовых ресурсов для исполнения принятых расходных обязательств в условиях опережающего темпа роста расходов по сравнению с темпом роста доходов, что привело к значительному увеличению объема муниципального долга города Ставрополя. Начиная с 2020 года взят уверенный курс на снижение муниципального долга.</w:t>
      </w:r>
    </w:p>
    <w:p w:rsidR="00971075" w:rsidRPr="003E3F88" w:rsidRDefault="00971075" w:rsidP="00971075">
      <w:pPr>
        <w:pStyle w:val="ConsPlusNormal"/>
        <w:ind w:firstLine="709"/>
        <w:contextualSpacing/>
        <w:jc w:val="both"/>
      </w:pPr>
      <w:r w:rsidRPr="003E3F88">
        <w:t>Особое внимание в период 2019 - 2022 годов уделялось минимизации расходов на обслуживание муниципального долга. Для этого были реализованы следующие мероприятия:</w:t>
      </w:r>
    </w:p>
    <w:p w:rsidR="00971075" w:rsidRPr="003E3F88" w:rsidRDefault="00971075" w:rsidP="00971075">
      <w:pPr>
        <w:pStyle w:val="ConsPlusNormal"/>
        <w:ind w:firstLine="709"/>
        <w:contextualSpacing/>
        <w:jc w:val="both"/>
      </w:pPr>
      <w:r w:rsidRPr="003E3F88">
        <w:t>привлечены краткосрочные бюджетные кредиты из федерального бюджета на пополнение остатков средств на счете бюджета города Ставрополя под 0,1 процента годовых;</w:t>
      </w:r>
    </w:p>
    <w:p w:rsidR="00971075" w:rsidRPr="003E3F88" w:rsidRDefault="00971075" w:rsidP="00971075">
      <w:pPr>
        <w:pStyle w:val="ConsPlusNormal"/>
        <w:ind w:firstLine="709"/>
        <w:contextualSpacing/>
        <w:jc w:val="both"/>
      </w:pPr>
      <w:r w:rsidRPr="003E3F88">
        <w:t>привлечены краткосрочные бюджетные кредиты из бюджета Ставропольского края на покрытие временных кассовых разрывов, возникающих при исполнении бюджета города Ставрополя, под 0,1 процента годовых;</w:t>
      </w:r>
    </w:p>
    <w:p w:rsidR="00971075" w:rsidRPr="003E3F88" w:rsidRDefault="00971075" w:rsidP="00971075">
      <w:pPr>
        <w:pStyle w:val="ConsPlusNormal"/>
        <w:ind w:firstLine="709"/>
        <w:contextualSpacing/>
        <w:jc w:val="both"/>
      </w:pPr>
      <w:r w:rsidRPr="003E3F88">
        <w:t xml:space="preserve">привлечены временно свободные средства муниципальных  бюджетных и автономных учреждений города Ставрополя для покрытия </w:t>
      </w:r>
      <w:r w:rsidRPr="003E3F88">
        <w:lastRenderedPageBreak/>
        <w:t>кассовых разрывов, возникающих при исполнении бюджета города Ставрополя;</w:t>
      </w:r>
    </w:p>
    <w:p w:rsidR="00971075" w:rsidRPr="003E3F88" w:rsidRDefault="00971075" w:rsidP="00971075">
      <w:pPr>
        <w:pStyle w:val="ConsPlusNormal"/>
        <w:ind w:firstLine="709"/>
        <w:contextualSpacing/>
        <w:jc w:val="both"/>
      </w:pPr>
      <w:r w:rsidRPr="003E3F88">
        <w:t>проведены аукционы в соответствии с Федеральным законом                           от 05 апреля 2013 года № 44-ФЗ «О контрактной системе в сфере закупок товаров, работ, услуг для обеспечения государственных и муниципальных нужд» в целях рефинансирования действующих кредитов кредитных организаций.</w:t>
      </w:r>
    </w:p>
    <w:p w:rsidR="004B363F" w:rsidRPr="003E3F88" w:rsidRDefault="004B363F" w:rsidP="004B363F">
      <w:pPr>
        <w:pStyle w:val="ConsPlusNormal"/>
        <w:ind w:firstLine="709"/>
        <w:contextualSpacing/>
        <w:jc w:val="both"/>
      </w:pPr>
      <w:r w:rsidRPr="003E3F88">
        <w:t>Проведенные в 2019 - 2022 годах мероприятия позволили высвободить и направить на финансирование социально значимых расходов денежные средства в сумме 315,6 млн рублей.</w:t>
      </w:r>
    </w:p>
    <w:p w:rsidR="004B363F" w:rsidRPr="003E3F88" w:rsidRDefault="004B363F" w:rsidP="004B36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За период с 2017 года по 2022 год общий объем доходов бюджета города Ставрополя возрос с 9 292,2 млн рублей до 18 023,8 млн рублей, </w:t>
      </w:r>
      <w:r w:rsidRPr="003E3F88">
        <w:rPr>
          <w:rFonts w:ascii="Times New Roman" w:hAnsi="Times New Roman"/>
          <w:sz w:val="28"/>
          <w:szCs w:val="28"/>
        </w:rPr>
        <w:br/>
        <w:t xml:space="preserve">в 2 раза. Объем налоговых и неналоговых доходов бюджета города </w:t>
      </w:r>
      <w:r w:rsidR="00532A84" w:rsidRPr="003E3F88">
        <w:rPr>
          <w:rFonts w:ascii="Times New Roman" w:hAnsi="Times New Roman"/>
          <w:sz w:val="28"/>
          <w:szCs w:val="28"/>
        </w:rPr>
        <w:t xml:space="preserve">Ставрополя </w:t>
      </w:r>
      <w:r w:rsidRPr="003E3F88">
        <w:rPr>
          <w:rFonts w:ascii="Times New Roman" w:hAnsi="Times New Roman"/>
          <w:sz w:val="28"/>
          <w:szCs w:val="28"/>
        </w:rPr>
        <w:t xml:space="preserve">увеличился на 2 793,1 млн рублей и в 2022 году составил </w:t>
      </w:r>
      <w:r w:rsidR="00532A84" w:rsidRPr="003E3F88">
        <w:rPr>
          <w:rFonts w:ascii="Times New Roman" w:hAnsi="Times New Roman"/>
          <w:sz w:val="28"/>
          <w:szCs w:val="28"/>
        </w:rPr>
        <w:br/>
      </w:r>
      <w:r w:rsidRPr="003E3F88">
        <w:rPr>
          <w:rFonts w:ascii="Times New Roman" w:hAnsi="Times New Roman"/>
          <w:sz w:val="28"/>
          <w:szCs w:val="28"/>
        </w:rPr>
        <w:t>6 342,9 млн рублей.</w:t>
      </w:r>
    </w:p>
    <w:p w:rsidR="004B363F" w:rsidRPr="003E3F88" w:rsidRDefault="004B363F" w:rsidP="004B36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За 2022 год налоговые и неналоговые доходы бюджета города Ставрополя составили 6 342,9 млн рублей. Бюджетные назначения по налоговым и неналоговым доходам исполнены на 104,9 процента. 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прошлого года общий объем поступлений увеличился </w:t>
      </w:r>
      <w:r w:rsidRPr="003E3F88">
        <w:rPr>
          <w:rFonts w:ascii="Times New Roman" w:hAnsi="Times New Roman"/>
          <w:sz w:val="28"/>
          <w:szCs w:val="28"/>
        </w:rPr>
        <w:t>на 1 490,4 млн рублей, или на 9 процентов, в том числе по налоговым и неналоговым доходам увеличился на 638,5 млн рублей, или на 11,2 процента, объем безвозмездных поступлений увеличился на 851,9 млн рублей, или на 7,9 процента.</w:t>
      </w:r>
    </w:p>
    <w:p w:rsidR="004B363F" w:rsidRPr="003E3F88" w:rsidRDefault="004B363F" w:rsidP="004B363F">
      <w:pPr>
        <w:pStyle w:val="a5"/>
        <w:widowControl w:val="0"/>
        <w:jc w:val="both"/>
        <w:rPr>
          <w:szCs w:val="28"/>
        </w:rPr>
      </w:pPr>
      <w:r w:rsidRPr="003E3F88">
        <w:rPr>
          <w:szCs w:val="28"/>
        </w:rPr>
        <w:t>По итогам 2022 года плановые назначения по налоговым и неналоговым доходам перевыполнены на 298,0 млн рублей.</w:t>
      </w:r>
    </w:p>
    <w:p w:rsidR="004B363F" w:rsidRPr="003E3F88" w:rsidRDefault="004B363F" w:rsidP="004B363F">
      <w:pPr>
        <w:pStyle w:val="ConsPlusNormal"/>
        <w:widowControl w:val="0"/>
        <w:ind w:firstLine="709"/>
        <w:jc w:val="both"/>
      </w:pP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Цели и задачи бюджетной политики города Ставрополя 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E3F88">
        <w:rPr>
          <w:rFonts w:ascii="Times New Roman" w:hAnsi="Times New Roman"/>
          <w:sz w:val="28"/>
          <w:szCs w:val="28"/>
        </w:rPr>
        <w:t>на период до 2028 года</w:t>
      </w:r>
    </w:p>
    <w:p w:rsidR="004B363F" w:rsidRPr="003E3F88" w:rsidRDefault="004B363F" w:rsidP="004B36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Целью разработки бюджетного прогноза города Ставрополя является оценка основных параметров бюджета города Ставрополя на долгосрочный период, позволяющая обеспечить сбалансированность бюджета города 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3E3F88">
        <w:rPr>
          <w:rFonts w:ascii="Times New Roman" w:hAnsi="Times New Roman"/>
          <w:sz w:val="28"/>
          <w:szCs w:val="28"/>
          <w:lang w:eastAsia="ru-RU"/>
        </w:rPr>
        <w:t>и достижение стратегических целей социально-экономического развития города Ставрополя.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Основная задача бюджетного прогноза города Ставрополя заключается в обеспечении взаимной увязки проводимой бюджетной политики с решением задач социально-экономического развития, достижения устойчивых темпов экономического роста и наилучшей организации жизни населения муниципального образования город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t>а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 Ставропол</w:t>
      </w:r>
      <w:r w:rsidR="00532A84" w:rsidRPr="003E3F88">
        <w:rPr>
          <w:rFonts w:ascii="Times New Roman" w:hAnsi="Times New Roman"/>
          <w:sz w:val="28"/>
          <w:szCs w:val="28"/>
          <w:lang w:eastAsia="ru-RU"/>
        </w:rPr>
        <w:t>я Ставропольского края</w:t>
      </w:r>
      <w:r w:rsidRPr="003E3F88">
        <w:rPr>
          <w:rFonts w:ascii="Times New Roman" w:hAnsi="Times New Roman"/>
          <w:sz w:val="28"/>
          <w:szCs w:val="28"/>
          <w:lang w:eastAsia="ru-RU"/>
        </w:rPr>
        <w:t>.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В сложившихся условиях основные усилия в сфере управления муниципальными финансами будут направлены на обеспечение решения приоритетных задач социально-экономического развития города         Ставрополя, определенных Стратегией социально-экономического развития </w:t>
      </w:r>
      <w:r w:rsidRPr="003E3F88">
        <w:rPr>
          <w:rFonts w:ascii="Times New Roman" w:hAnsi="Times New Roman"/>
          <w:sz w:val="28"/>
          <w:szCs w:val="28"/>
          <w:lang w:eastAsia="ru-RU"/>
        </w:rPr>
        <w:lastRenderedPageBreak/>
        <w:t>города Ставрополя до 2035 года, утвержденной решением Ставропольской городской Думы от 26 марта 2021 г. № 547, при одновременном              обеспечении устойчивости и сбалансированности бюджета города Ставрополя.</w:t>
      </w:r>
    </w:p>
    <w:p w:rsidR="004B363F" w:rsidRPr="003E3F88" w:rsidRDefault="004B363F" w:rsidP="004B363F">
      <w:pPr>
        <w:pStyle w:val="ConsPlusNormal"/>
        <w:ind w:firstLine="540"/>
        <w:jc w:val="both"/>
        <w:rPr>
          <w:lang w:eastAsia="en-US"/>
        </w:rPr>
      </w:pPr>
      <w:r w:rsidRPr="003E3F88">
        <w:rPr>
          <w:lang w:eastAsia="en-US"/>
        </w:rPr>
        <w:t xml:space="preserve">Бюджетный прогноз </w:t>
      </w:r>
      <w:r w:rsidR="00DD1CA2" w:rsidRPr="003E3F88">
        <w:t xml:space="preserve">города Ставрополя </w:t>
      </w:r>
      <w:r w:rsidRPr="003E3F88">
        <w:rPr>
          <w:lang w:eastAsia="en-US"/>
        </w:rPr>
        <w:t xml:space="preserve">сформирован исходя из </w:t>
      </w:r>
      <w:r w:rsidR="00DD1CA2">
        <w:rPr>
          <w:lang w:eastAsia="en-US"/>
        </w:rPr>
        <w:t xml:space="preserve"> </w:t>
      </w:r>
      <w:r w:rsidRPr="003E3F88">
        <w:rPr>
          <w:lang w:eastAsia="en-US"/>
        </w:rPr>
        <w:t xml:space="preserve">базового варианта долгосрочного прогноза социально-экономического развития </w:t>
      </w:r>
      <w:r w:rsidRPr="003E3F88">
        <w:t>города Ставрополя</w:t>
      </w:r>
      <w:r w:rsidRPr="003E3F88">
        <w:rPr>
          <w:lang w:eastAsia="en-US"/>
        </w:rPr>
        <w:t>, который определяет наиболее вероятный сценарий развития экономики с учетом ожидаемых внешних условий и принимаемых мер экономической политики.</w:t>
      </w:r>
    </w:p>
    <w:p w:rsidR="004B363F" w:rsidRPr="003E3F88" w:rsidRDefault="004B363F" w:rsidP="004B363F">
      <w:pPr>
        <w:pStyle w:val="ConsPlusNormal"/>
        <w:spacing w:line="238" w:lineRule="auto"/>
        <w:ind w:firstLine="709"/>
        <w:jc w:val="both"/>
      </w:pPr>
      <w:r w:rsidRPr="003E3F88">
        <w:t>Основными направлениями бюджетной политики города Ставрополя на 2023 год и плановый период 2024 и 2025 годов определены:</w:t>
      </w:r>
    </w:p>
    <w:p w:rsidR="004B363F" w:rsidRPr="003E3F88" w:rsidRDefault="004B363F" w:rsidP="004B363F">
      <w:pPr>
        <w:pStyle w:val="ConsPlusNormal"/>
        <w:ind w:firstLine="709"/>
        <w:jc w:val="both"/>
      </w:pPr>
      <w:r w:rsidRPr="003E3F88">
        <w:t>обеспечение долгосрочной сбалансированности и устойчивости бюджета города Ставрополя;</w:t>
      </w:r>
    </w:p>
    <w:p w:rsidR="004B363F" w:rsidRPr="003E3F88" w:rsidRDefault="004B363F" w:rsidP="004B363F">
      <w:pPr>
        <w:widowControl w:val="0"/>
        <w:spacing w:after="0"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достижение показателей национальных целей и задач путем реализации мероприятий муниципальных программ города Ставрополя;</w:t>
      </w:r>
    </w:p>
    <w:p w:rsidR="004B363F" w:rsidRPr="003E3F88" w:rsidRDefault="004B363F" w:rsidP="004B363F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повышение эффективности и результативности бюджетных расходов;</w:t>
      </w:r>
    </w:p>
    <w:p w:rsidR="004B363F" w:rsidRPr="003E3F88" w:rsidRDefault="004B363F" w:rsidP="004B36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обеспечение прозрачности и открытости бюджета города Ставрополя и бюджетного процесса для граждан.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В условиях влияния отрицательных геополитических факторов на развитие отраслей экономики и финансового сектора необходимо: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обеспечить концентрацию финансовых ресурсов на безусловное исполнение всех социально значимых обязательств города Ставрополя;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обеспечить исполнение действующих расходных обязательств города Ставрополя наиболее эффективным способом, посредством исключения принятия расходных обязательств города Ставрополя, не обеспеченных соответствующими источниками финансирования;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продолжать реализацию </w:t>
      </w:r>
      <w:hyperlink r:id="rId9" w:history="1">
        <w:r w:rsidRPr="003E3F88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3E3F88">
        <w:rPr>
          <w:rFonts w:ascii="Times New Roman" w:hAnsi="Times New Roman"/>
          <w:sz w:val="28"/>
          <w:szCs w:val="28"/>
          <w:lang w:eastAsia="ru-RU"/>
        </w:rPr>
        <w:t xml:space="preserve"> оздоровления муниципальных финансов города Ставрополя на 2018-2024 годы, утвержденной постановлением администрации города Ставрополя от 25.12.2018 № 2638, мероприятия которой направлены на увеличение роста доходов, оптимизацию расходов, сокращение муниципального долга и расходов по обслуживанию муниципального долга.</w:t>
      </w:r>
    </w:p>
    <w:p w:rsidR="00971075" w:rsidRPr="003E3F88" w:rsidRDefault="00971075" w:rsidP="00971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Общий объем расходов бюджета города</w:t>
      </w:r>
      <w:r w:rsidR="00D24C56" w:rsidRPr="003E3F88">
        <w:rPr>
          <w:rFonts w:ascii="Times New Roman" w:hAnsi="Times New Roman"/>
          <w:sz w:val="28"/>
          <w:szCs w:val="28"/>
          <w:lang w:eastAsia="ru-RU"/>
        </w:rPr>
        <w:t xml:space="preserve"> Ставрополя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, объем муниципального долга и объем дефицита бюджета города </w:t>
      </w:r>
      <w:r w:rsidR="00D24C56" w:rsidRPr="003E3F88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определены исходя из прогнозируемого общего объема доходов бюджета города </w:t>
      </w:r>
      <w:r w:rsidR="00D24C56" w:rsidRPr="003E3F88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Pr="003E3F88">
        <w:rPr>
          <w:rFonts w:ascii="Times New Roman" w:hAnsi="Times New Roman"/>
          <w:sz w:val="28"/>
          <w:szCs w:val="28"/>
          <w:lang w:eastAsia="ru-RU"/>
        </w:rPr>
        <w:t>и необходимости поддержания объема муниципального долга на безопасном уровне, обеспечивающем отнесение города Ставрополя к группе заемщиков с высоким уровнем долговой устойчивости.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Ставропольского края и бюджетном законодательстве Российской Федерации.</w:t>
      </w:r>
    </w:p>
    <w:p w:rsidR="004B363F" w:rsidRPr="003E3F88" w:rsidRDefault="004B363F" w:rsidP="004B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F88">
        <w:rPr>
          <w:rFonts w:ascii="Times New Roman" w:hAnsi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его финансирования и муниципального долга осуществлен исходя из </w:t>
      </w:r>
      <w:r w:rsidRPr="003E3F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ограничений по размеру дефицита и уровню муниципального долга, установленных Бюджетным </w:t>
      </w:r>
      <w:hyperlink r:id="rId10" w:history="1">
        <w:r w:rsidRPr="003E3F8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3E3F8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а также с учетом нормативных правовых актов, регулирующих бюджетные правоотношения.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Прогноз основных характеристик бюджета города Ставрополя </w:t>
      </w:r>
    </w:p>
    <w:p w:rsidR="004B363F" w:rsidRPr="003E3F88" w:rsidRDefault="004B363F" w:rsidP="004B363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на период до 2028 года</w:t>
      </w:r>
    </w:p>
    <w:p w:rsidR="004B363F" w:rsidRPr="003E3F88" w:rsidRDefault="004B363F" w:rsidP="004B363F">
      <w:pPr>
        <w:pStyle w:val="ConsPlusNormal"/>
        <w:widowControl w:val="0"/>
        <w:jc w:val="both"/>
      </w:pPr>
    </w:p>
    <w:p w:rsidR="004B363F" w:rsidRPr="003E3F88" w:rsidRDefault="004B363F" w:rsidP="004B363F">
      <w:pPr>
        <w:pStyle w:val="ConsPlusNormal"/>
        <w:widowControl w:val="0"/>
        <w:ind w:firstLine="709"/>
        <w:jc w:val="both"/>
      </w:pPr>
      <w:r w:rsidRPr="003E3F88">
        <w:t>Исходя из необходимости решения задач реализации бюджетной политики города Ставрополя осуществлен прогноз основных характеристик бюджета города Ставрополя на период до 2028 года, приведенный в приложении 1 к бюджетному прогнозу города Ставрополя.</w:t>
      </w:r>
    </w:p>
    <w:p w:rsidR="004B363F" w:rsidRPr="003E3F88" w:rsidRDefault="004B363F" w:rsidP="004B363F">
      <w:pPr>
        <w:pStyle w:val="ConsPlusNormal"/>
        <w:widowControl w:val="0"/>
        <w:ind w:firstLine="709"/>
        <w:jc w:val="both"/>
      </w:pPr>
      <w:r w:rsidRPr="003E3F88">
        <w:t>При определении основных характеристик и отдельных показателей бюджета города Ставрополя на долгосрочный период использовались параметры прогноза социально-экономического развития города Ставрополя на период до 2035 года, разработанные на основе анализа тенденций развития основных секторов экономики, и основные направления бюджетной и налоговой политики города Ставрополя на 2023 год и плановый период 2024 и 2025 годов, утвержденные постановлением администрации города Ставрополя от 06.10.2022 № 2124.</w:t>
      </w:r>
    </w:p>
    <w:p w:rsidR="005C1394" w:rsidRPr="003E3F88" w:rsidRDefault="005C1394" w:rsidP="004B363F">
      <w:pPr>
        <w:pStyle w:val="ConsPlusNormal"/>
        <w:widowControl w:val="0"/>
        <w:ind w:firstLine="709"/>
        <w:jc w:val="both"/>
      </w:pPr>
    </w:p>
    <w:p w:rsidR="005C1394" w:rsidRPr="003E3F88" w:rsidRDefault="005C1394" w:rsidP="005C1394">
      <w:pPr>
        <w:pStyle w:val="ConsPlusNormal"/>
        <w:jc w:val="center"/>
      </w:pPr>
      <w:r w:rsidRPr="003E3F88">
        <w:t xml:space="preserve">Предельные объемы расходов бюджета города Ставрополя </w:t>
      </w:r>
    </w:p>
    <w:p w:rsidR="005C1394" w:rsidRPr="003E3F88" w:rsidRDefault="005C1394" w:rsidP="005C1394">
      <w:pPr>
        <w:pStyle w:val="ConsPlusNormal"/>
        <w:jc w:val="center"/>
      </w:pPr>
      <w:r w:rsidRPr="003E3F88">
        <w:t>на реализацию муниципальных программ на период до 2028 года</w:t>
      </w:r>
    </w:p>
    <w:p w:rsidR="005C1394" w:rsidRPr="003E3F88" w:rsidRDefault="005C1394" w:rsidP="005C1394">
      <w:pPr>
        <w:pStyle w:val="ConsPlusNormal"/>
        <w:ind w:firstLine="709"/>
        <w:jc w:val="both"/>
        <w:rPr>
          <w:sz w:val="24"/>
          <w:szCs w:val="24"/>
        </w:rPr>
      </w:pPr>
    </w:p>
    <w:p w:rsidR="005C1394" w:rsidRPr="003E3F88" w:rsidRDefault="005C1394" w:rsidP="005C1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</w:t>
      </w:r>
      <w:r w:rsidR="00764DC7" w:rsidRPr="003E3F88">
        <w:rPr>
          <w:rFonts w:ascii="Times New Roman" w:hAnsi="Times New Roman"/>
          <w:sz w:val="28"/>
          <w:szCs w:val="28"/>
        </w:rPr>
        <w:t>10.06.2022</w:t>
      </w:r>
      <w:r w:rsidRPr="003E3F88">
        <w:rPr>
          <w:rFonts w:ascii="Times New Roman" w:hAnsi="Times New Roman"/>
          <w:sz w:val="28"/>
          <w:szCs w:val="28"/>
        </w:rPr>
        <w:t xml:space="preserve"> </w:t>
      </w:r>
      <w:r w:rsidRPr="003E3F88">
        <w:rPr>
          <w:rFonts w:ascii="Times New Roman" w:hAnsi="Times New Roman"/>
          <w:sz w:val="28"/>
          <w:szCs w:val="28"/>
        </w:rPr>
        <w:br/>
        <w:t xml:space="preserve">№ </w:t>
      </w:r>
      <w:r w:rsidR="00764DC7" w:rsidRPr="003E3F88">
        <w:rPr>
          <w:rFonts w:ascii="Times New Roman" w:hAnsi="Times New Roman"/>
          <w:sz w:val="28"/>
          <w:szCs w:val="28"/>
        </w:rPr>
        <w:t>1230</w:t>
      </w:r>
      <w:r w:rsidRPr="003E3F88">
        <w:rPr>
          <w:rFonts w:ascii="Times New Roman" w:hAnsi="Times New Roman"/>
          <w:sz w:val="28"/>
          <w:szCs w:val="28"/>
        </w:rPr>
        <w:t xml:space="preserve"> «О Перечне муниципальных программ города Ставрополя, принимаемых к разработке в 20</w:t>
      </w:r>
      <w:r w:rsidR="00764DC7" w:rsidRPr="003E3F88">
        <w:rPr>
          <w:rFonts w:ascii="Times New Roman" w:hAnsi="Times New Roman"/>
          <w:sz w:val="28"/>
          <w:szCs w:val="28"/>
        </w:rPr>
        <w:t>22</w:t>
      </w:r>
      <w:r w:rsidRPr="003E3F88">
        <w:rPr>
          <w:rFonts w:ascii="Times New Roman" w:hAnsi="Times New Roman"/>
          <w:sz w:val="28"/>
          <w:szCs w:val="28"/>
        </w:rPr>
        <w:t xml:space="preserve"> году» утвержден Перечень муниципальных программ города Ставрополя</w:t>
      </w:r>
      <w:r w:rsidR="00764DC7" w:rsidRPr="003E3F88">
        <w:rPr>
          <w:rFonts w:ascii="Times New Roman" w:hAnsi="Times New Roman"/>
          <w:sz w:val="28"/>
          <w:szCs w:val="28"/>
        </w:rPr>
        <w:t>, принимаемых к разработке в 2022</w:t>
      </w:r>
      <w:r w:rsidRPr="003E3F88">
        <w:rPr>
          <w:rFonts w:ascii="Times New Roman" w:hAnsi="Times New Roman"/>
          <w:sz w:val="28"/>
          <w:szCs w:val="28"/>
        </w:rPr>
        <w:t xml:space="preserve"> году, </w:t>
      </w:r>
      <w:r w:rsidRPr="003E3F88">
        <w:rPr>
          <w:rFonts w:ascii="Times New Roman" w:hAnsi="Times New Roman"/>
          <w:sz w:val="28"/>
          <w:szCs w:val="28"/>
          <w:lang w:eastAsia="ru-RU"/>
        </w:rPr>
        <w:t>включающий 18 муниципальных программ, реализуемых начиная с 01 января 202</w:t>
      </w:r>
      <w:r w:rsidR="00764DC7" w:rsidRPr="003E3F88">
        <w:rPr>
          <w:rFonts w:ascii="Times New Roman" w:hAnsi="Times New Roman"/>
          <w:sz w:val="28"/>
          <w:szCs w:val="28"/>
          <w:lang w:eastAsia="ru-RU"/>
        </w:rPr>
        <w:t>3</w:t>
      </w:r>
      <w:r w:rsidRPr="003E3F88">
        <w:rPr>
          <w:rFonts w:ascii="Times New Roman" w:hAnsi="Times New Roman"/>
          <w:sz w:val="28"/>
          <w:szCs w:val="28"/>
          <w:lang w:eastAsia="ru-RU"/>
        </w:rPr>
        <w:t xml:space="preserve"> года. Продолжается реализация муниципальной программы «Формирование современной городской среды на территории города Ставрополя», разработанной в соответствии с постановлением администрации города Ставрополя от 29.06.2017 № 1138 «О Перечне муниципальных программ города Ставрополя, принимаемых к разработке в 2017 году».</w:t>
      </w:r>
    </w:p>
    <w:p w:rsidR="005C1394" w:rsidRPr="003E3F88" w:rsidRDefault="005C1394" w:rsidP="005C1394">
      <w:pPr>
        <w:pStyle w:val="ConsPlusNormal"/>
        <w:ind w:firstLine="709"/>
        <w:jc w:val="both"/>
      </w:pPr>
      <w:r w:rsidRPr="003E3F88">
        <w:t>Бюджетным прогнозом города Ставрополя устанавливаются предельные объемы расходов бюджета города Ставрополя на реализацию каждой из муниципальных программ до 202</w:t>
      </w:r>
      <w:r w:rsidR="00764DC7" w:rsidRPr="003E3F88">
        <w:t>8</w:t>
      </w:r>
      <w:r w:rsidRPr="003E3F88">
        <w:t xml:space="preserve"> года. Предельные объемы расходов бюджета города Ставрополя на реализацию муниципальных программ позволяют определить среднесрочные приоритеты в распределении бюджетных расходов, сформировать полноценные, финансово обеспеченные муниципальные программы, создать стимулы, прежде всего для их ответственных исполнителей, для выявления и использования резервов в целях перераспределения расходов и, </w:t>
      </w:r>
      <w:r w:rsidRPr="003E3F88">
        <w:lastRenderedPageBreak/>
        <w:t>следовательно, повышения эффективности использования бюджетных средств.</w:t>
      </w:r>
    </w:p>
    <w:p w:rsidR="005C1394" w:rsidRPr="003E3F88" w:rsidRDefault="005C1394" w:rsidP="005C1394">
      <w:pPr>
        <w:pStyle w:val="ConsPlusNormal"/>
        <w:ind w:firstLine="709"/>
        <w:jc w:val="both"/>
      </w:pPr>
      <w:r w:rsidRPr="003E3F88">
        <w:t>Предельные объемы расходов бюджета города Ставрополя на реализацию муниципальных программ города Ставрополя на период                         до 202</w:t>
      </w:r>
      <w:r w:rsidR="00764DC7" w:rsidRPr="003E3F88">
        <w:t>8</w:t>
      </w:r>
      <w:r w:rsidRPr="003E3F88">
        <w:t xml:space="preserve"> года приведены в приложении 2 к бюджетному прогнозу города Ставрополя.</w:t>
      </w:r>
    </w:p>
    <w:p w:rsidR="005A5585" w:rsidRPr="003E3F88" w:rsidRDefault="005A5585" w:rsidP="004B363F">
      <w:pPr>
        <w:pStyle w:val="ConsPlusNormal"/>
        <w:widowControl w:val="0"/>
        <w:ind w:firstLine="709"/>
        <w:jc w:val="both"/>
      </w:pPr>
    </w:p>
    <w:p w:rsidR="005A5585" w:rsidRPr="003E3F88" w:rsidRDefault="005A5585" w:rsidP="004B363F">
      <w:pPr>
        <w:pStyle w:val="ConsPlusNormal"/>
        <w:widowControl w:val="0"/>
        <w:ind w:firstLine="709"/>
        <w:jc w:val="both"/>
      </w:pPr>
    </w:p>
    <w:p w:rsidR="005A5585" w:rsidRPr="003E3F88" w:rsidRDefault="005A5585" w:rsidP="004B363F">
      <w:pPr>
        <w:pStyle w:val="ConsPlusNormal"/>
        <w:widowControl w:val="0"/>
        <w:ind w:firstLine="709"/>
        <w:jc w:val="both"/>
      </w:pPr>
    </w:p>
    <w:p w:rsidR="005A5585" w:rsidRPr="003E3F88" w:rsidRDefault="005A5585" w:rsidP="005C1394">
      <w:pPr>
        <w:pStyle w:val="ConsPlusNormal"/>
        <w:widowControl w:val="0"/>
        <w:spacing w:line="240" w:lineRule="exact"/>
        <w:jc w:val="both"/>
      </w:pPr>
      <w:r w:rsidRPr="003E3F88">
        <w:t xml:space="preserve">Заместитель главы </w:t>
      </w:r>
    </w:p>
    <w:p w:rsidR="005A5585" w:rsidRPr="003E3F88" w:rsidRDefault="005A5585" w:rsidP="005C1394">
      <w:pPr>
        <w:pStyle w:val="ConsPlusNormal"/>
        <w:widowControl w:val="0"/>
        <w:spacing w:line="240" w:lineRule="exact"/>
        <w:jc w:val="both"/>
      </w:pPr>
      <w:r w:rsidRPr="003E3F88">
        <w:t xml:space="preserve">администрации города Ставрополя </w:t>
      </w:r>
      <w:r w:rsidRPr="003E3F88">
        <w:tab/>
      </w:r>
      <w:r w:rsidRPr="003E3F88">
        <w:tab/>
      </w:r>
      <w:r w:rsidRPr="003E3F88">
        <w:tab/>
      </w:r>
      <w:r w:rsidRPr="003E3F88">
        <w:tab/>
      </w:r>
      <w:r w:rsidRPr="003E3F88">
        <w:tab/>
        <w:t>В.В. Зритнев</w:t>
      </w:r>
    </w:p>
    <w:p w:rsidR="004B363F" w:rsidRPr="003E3F88" w:rsidRDefault="004B363F" w:rsidP="004B363F">
      <w:pPr>
        <w:pStyle w:val="ConsPlusNormal"/>
        <w:widowControl w:val="0"/>
        <w:ind w:firstLine="709"/>
        <w:jc w:val="both"/>
      </w:pPr>
    </w:p>
    <w:p w:rsidR="004B363F" w:rsidRPr="003E3F88" w:rsidRDefault="004B363F" w:rsidP="00B216EB">
      <w:pPr>
        <w:widowControl w:val="0"/>
        <w:rPr>
          <w:highlight w:val="yellow"/>
        </w:rPr>
        <w:sectPr w:rsidR="004B363F" w:rsidRPr="003E3F88" w:rsidSect="00DD1CA2">
          <w:pgSz w:w="11907" w:h="16840" w:code="9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4B363F" w:rsidRPr="003E3F88" w:rsidTr="00F0233D">
        <w:tc>
          <w:tcPr>
            <w:tcW w:w="5201" w:type="dxa"/>
          </w:tcPr>
          <w:p w:rsidR="004B363F" w:rsidRPr="003E3F88" w:rsidRDefault="004B363F" w:rsidP="00F0233D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4B363F" w:rsidRPr="003E3F88" w:rsidRDefault="004B363F" w:rsidP="00F0233D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B363F" w:rsidRPr="003E3F88" w:rsidRDefault="004B363F" w:rsidP="00F0233D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4B363F" w:rsidRPr="003E3F88" w:rsidRDefault="004B363F" w:rsidP="005C1394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 w:rsidRPr="003E3F88">
              <w:rPr>
                <w:rFonts w:ascii="Times New Roman" w:hAnsi="Times New Roman"/>
                <w:sz w:val="28"/>
                <w:szCs w:val="28"/>
              </w:rPr>
              <w:t>к бюджетно</w:t>
            </w:r>
            <w:r w:rsidR="005C1394" w:rsidRPr="003E3F88">
              <w:rPr>
                <w:rFonts w:ascii="Times New Roman" w:hAnsi="Times New Roman"/>
                <w:sz w:val="28"/>
                <w:szCs w:val="28"/>
              </w:rPr>
              <w:t>му</w:t>
            </w:r>
            <w:r w:rsidRPr="003E3F88">
              <w:rPr>
                <w:rFonts w:ascii="Times New Roman" w:hAnsi="Times New Roman"/>
                <w:sz w:val="28"/>
                <w:szCs w:val="28"/>
              </w:rPr>
              <w:t xml:space="preserve"> прогноз</w:t>
            </w:r>
            <w:r w:rsidR="005C1394" w:rsidRPr="003E3F8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3E3F88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города Ставрополя Ставропольского края на период до 2028 года</w:t>
            </w:r>
          </w:p>
        </w:tc>
      </w:tr>
    </w:tbl>
    <w:p w:rsidR="004B363F" w:rsidRPr="003E3F88" w:rsidRDefault="004B363F" w:rsidP="004B363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 xml:space="preserve">ПРОГНОЗ 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основных характеристик бюджета города Ставрополя на период до 2028 года</w:t>
      </w:r>
    </w:p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B363F" w:rsidRPr="003E3F88" w:rsidRDefault="004B363F" w:rsidP="004B363F">
      <w:pPr>
        <w:pStyle w:val="ConsPlusNormal"/>
        <w:widowControl w:val="0"/>
        <w:jc w:val="right"/>
        <w:rPr>
          <w:rFonts w:eastAsia="Times New Roman"/>
          <w:sz w:val="24"/>
          <w:szCs w:val="24"/>
        </w:rPr>
      </w:pPr>
      <w:r w:rsidRPr="003E3F88">
        <w:rPr>
          <w:rFonts w:eastAsia="Times New Roman"/>
          <w:sz w:val="24"/>
          <w:szCs w:val="24"/>
        </w:rPr>
        <w:t>тыс. рублей</w:t>
      </w:r>
    </w:p>
    <w:p w:rsidR="004B363F" w:rsidRPr="003E3F88" w:rsidRDefault="004B363F" w:rsidP="004B363F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4601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16 533 392,08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D10C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18 023 812,4</w:t>
            </w:r>
            <w:r w:rsidR="00D10CD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16 266 196,20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14 490 318,02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12 451 539,11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12 539 579,75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12 629 105,00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DD60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12 720 139,1</w:t>
            </w:r>
            <w:r w:rsidR="00DD6053"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4 886 187,47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D27A3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5 465 839,</w:t>
            </w:r>
            <w:r w:rsidR="00D27A3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5 304 326,73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5 407 628,96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5 496 420,63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5 586 561,93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5 678 181,54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5 771 303,72</w:t>
            </w:r>
          </w:p>
        </w:tc>
      </w:tr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818 281,14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877 111,04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705 846,52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702 353,32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700 220,31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698 119,65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696 025,29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693 937,21</w:t>
            </w:r>
          </w:p>
        </w:tc>
      </w:tr>
      <w:tr w:rsidR="004B363F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10 828 923,47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11 680 862,22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10 256 022,95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8 380 335,74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6 254 898,17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6 254 898,17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6 254 898,17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6 254 898,17</w:t>
            </w:r>
          </w:p>
        </w:tc>
      </w:tr>
      <w:tr w:rsidR="00DD6053" w:rsidRPr="003E3F88" w:rsidTr="00F0233D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D6053" w:rsidRPr="003E3F88" w:rsidRDefault="00DD6053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D6053" w:rsidRPr="003E3F88" w:rsidRDefault="00DD6053" w:rsidP="00351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16 358 865,27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351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17 698 091,33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351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351BC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12 603 579,75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DD60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12 603 579,75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D6053" w:rsidRPr="003E3F88" w:rsidRDefault="00DD6053" w:rsidP="00DD60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12 693 105,00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053" w:rsidRPr="003E3F88" w:rsidRDefault="00DD6053" w:rsidP="00DD605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12 784 139,10</w:t>
            </w:r>
          </w:p>
        </w:tc>
      </w:tr>
      <w:tr w:rsidR="004B363F" w:rsidRPr="003E3F88" w:rsidTr="00F0233D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363F" w:rsidRPr="003E3F88" w:rsidRDefault="004B363F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1075" w:rsidRPr="003E3F88" w:rsidTr="00F0233D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92 458,01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105 368,83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075" w:rsidRPr="003E3F88" w:rsidRDefault="00971075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</w:tr>
      <w:tr w:rsidR="00F0233D" w:rsidRPr="003E3F88" w:rsidTr="00F0233D">
        <w:trPr>
          <w:cantSplit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Дефицит/профицит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174 526,81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D10CD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325 721,1</w:t>
            </w:r>
            <w:r w:rsidR="00D10CD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-392 832,10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-64 000,00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-64 000,00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-64 000,00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-64 000,00</w:t>
            </w:r>
          </w:p>
        </w:tc>
      </w:tr>
      <w:tr w:rsidR="00F0233D" w:rsidRPr="003E3F88" w:rsidTr="00F0233D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2 098 531,02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1 989 945,51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33D" w:rsidRPr="003E3F88" w:rsidRDefault="00F0233D" w:rsidP="00F0233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</w:tr>
    </w:tbl>
    <w:p w:rsidR="004B363F" w:rsidRPr="003E3F88" w:rsidRDefault="004B363F" w:rsidP="004B3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5B" w:rsidRPr="003E3F88" w:rsidRDefault="00D07F5B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F42" w:rsidRPr="003E3F88" w:rsidRDefault="00D11F42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5201"/>
        <w:gridCol w:w="9400"/>
      </w:tblGrid>
      <w:tr w:rsidR="00F866D3" w:rsidRPr="003E3F88" w:rsidTr="00D07F5B">
        <w:tc>
          <w:tcPr>
            <w:tcW w:w="5201" w:type="dxa"/>
          </w:tcPr>
          <w:p w:rsidR="00F866D3" w:rsidRPr="003E3F88" w:rsidRDefault="00F866D3" w:rsidP="00F0233D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</w:p>
        </w:tc>
        <w:tc>
          <w:tcPr>
            <w:tcW w:w="9400" w:type="dxa"/>
          </w:tcPr>
          <w:p w:rsidR="00F866D3" w:rsidRPr="003E3F88" w:rsidRDefault="00F866D3" w:rsidP="00F866D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E0C57" w:rsidRPr="003E3F88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9E0C57" w:rsidRPr="003E3F88" w:rsidSect="00AC3FE5">
          <w:headerReference w:type="first" r:id="rId11"/>
          <w:pgSz w:w="16840" w:h="11907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15075" w:rsidRPr="003E3F88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250" w:type="dxa"/>
        <w:tblLayout w:type="fixed"/>
        <w:tblLook w:val="04A0"/>
      </w:tblPr>
      <w:tblGrid>
        <w:gridCol w:w="5200"/>
        <w:gridCol w:w="9680"/>
      </w:tblGrid>
      <w:tr w:rsidR="009E0C57" w:rsidRPr="003E3F88" w:rsidTr="00F0233D">
        <w:tc>
          <w:tcPr>
            <w:tcW w:w="5201" w:type="dxa"/>
          </w:tcPr>
          <w:p w:rsidR="009E0C57" w:rsidRPr="003E3F88" w:rsidRDefault="009E0C57" w:rsidP="00F0233D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tbl>
            <w:tblPr>
              <w:tblW w:w="9468" w:type="dxa"/>
              <w:tblInd w:w="250" w:type="dxa"/>
              <w:tblLayout w:type="fixed"/>
              <w:tblLook w:val="04A0"/>
            </w:tblPr>
            <w:tblGrid>
              <w:gridCol w:w="9468"/>
            </w:tblGrid>
            <w:tr w:rsidR="009E0C57" w:rsidRPr="003E3F88" w:rsidTr="00B61C73">
              <w:tc>
                <w:tcPr>
                  <w:tcW w:w="9468" w:type="dxa"/>
                </w:tcPr>
                <w:p w:rsidR="009E0C57" w:rsidRPr="003E3F88" w:rsidRDefault="009E0C57" w:rsidP="00D07F5B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3F88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9E0C57" w:rsidRPr="003E3F88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57" w:rsidRPr="003E3F88" w:rsidRDefault="00764DC7" w:rsidP="00764DC7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3F88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бюджетному прогнозу муниципального образования города Ставрополя Ставропольского края на период </w:t>
                  </w:r>
                  <w:r w:rsidRPr="003E3F88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 xml:space="preserve">до 2028 года </w:t>
                  </w:r>
                </w:p>
              </w:tc>
            </w:tr>
          </w:tbl>
          <w:p w:rsidR="009E0C57" w:rsidRPr="003E3F88" w:rsidRDefault="009E0C57" w:rsidP="00F0233D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</w:p>
        </w:tc>
      </w:tr>
    </w:tbl>
    <w:p w:rsidR="009E0C57" w:rsidRPr="003E3F88" w:rsidRDefault="009E0C57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DA69E2" w:rsidRPr="003E3F88" w:rsidRDefault="00DA69E2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9E0C57" w:rsidRPr="003E3F88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ПРЕДЕЛЬНЫЕ ОБЪЕМЫ</w:t>
      </w:r>
    </w:p>
    <w:p w:rsidR="009E0C57" w:rsidRPr="003E3F88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расходов бюджета города Ставрополя на реализацию муниципальных программ города Ставрополя</w:t>
      </w:r>
      <w:r w:rsidRPr="003E3F88">
        <w:rPr>
          <w:rFonts w:ascii="Times New Roman" w:hAnsi="Times New Roman"/>
          <w:bCs/>
          <w:sz w:val="28"/>
          <w:szCs w:val="28"/>
        </w:rPr>
        <w:t xml:space="preserve"> </w:t>
      </w:r>
    </w:p>
    <w:p w:rsidR="009E0C57" w:rsidRPr="003E3F88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E3F88">
        <w:rPr>
          <w:rFonts w:ascii="Times New Roman" w:hAnsi="Times New Roman"/>
          <w:sz w:val="28"/>
          <w:szCs w:val="28"/>
        </w:rPr>
        <w:t>на период до 202</w:t>
      </w:r>
      <w:r w:rsidR="004B363F" w:rsidRPr="003E3F88">
        <w:rPr>
          <w:rFonts w:ascii="Times New Roman" w:hAnsi="Times New Roman"/>
          <w:sz w:val="28"/>
          <w:szCs w:val="28"/>
        </w:rPr>
        <w:t>8</w:t>
      </w:r>
      <w:r w:rsidRPr="003E3F88">
        <w:rPr>
          <w:rFonts w:ascii="Times New Roman" w:hAnsi="Times New Roman"/>
          <w:sz w:val="28"/>
          <w:szCs w:val="28"/>
        </w:rPr>
        <w:t xml:space="preserve"> года</w:t>
      </w:r>
    </w:p>
    <w:p w:rsidR="002816B0" w:rsidRPr="003E3F88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16B0" w:rsidRPr="003E3F88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6" w:type="dxa"/>
        <w:tblInd w:w="96" w:type="dxa"/>
        <w:tblLook w:val="04A0"/>
      </w:tblPr>
      <w:tblGrid>
        <w:gridCol w:w="4548"/>
        <w:gridCol w:w="1276"/>
        <w:gridCol w:w="1418"/>
        <w:gridCol w:w="1275"/>
        <w:gridCol w:w="1276"/>
        <w:gridCol w:w="1276"/>
        <w:gridCol w:w="1276"/>
        <w:gridCol w:w="1275"/>
        <w:gridCol w:w="1276"/>
      </w:tblGrid>
      <w:tr w:rsidR="002816B0" w:rsidRPr="003E3F88" w:rsidTr="00F0233D">
        <w:trPr>
          <w:cantSplit/>
          <w:trHeight w:val="80"/>
        </w:trPr>
        <w:tc>
          <w:tcPr>
            <w:tcW w:w="4548" w:type="dxa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Pr="003E3F88" w:rsidRDefault="002816B0" w:rsidP="00F0233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3E3F88" w:rsidRDefault="002816B0" w:rsidP="00F023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2816B0" w:rsidRPr="003E3F88" w:rsidRDefault="002816B0" w:rsidP="002816B0">
      <w:pPr>
        <w:widowControl w:val="0"/>
        <w:spacing w:after="0" w:line="12" w:lineRule="auto"/>
        <w:rPr>
          <w:sz w:val="2"/>
          <w:szCs w:val="2"/>
        </w:rPr>
      </w:pPr>
    </w:p>
    <w:tbl>
      <w:tblPr>
        <w:tblW w:w="14896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5A5585" w:rsidRPr="003E3F88" w:rsidTr="002816B0">
        <w:trPr>
          <w:cantSplit/>
          <w:trHeight w:val="20"/>
          <w:tblHeader/>
        </w:trPr>
        <w:tc>
          <w:tcPr>
            <w:tcW w:w="4517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6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6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9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9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2" w:type="dxa"/>
            <w:hideMark/>
          </w:tcPr>
          <w:p w:rsidR="005A5585" w:rsidRPr="003E3F88" w:rsidRDefault="005A5585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7" w:type="dxa"/>
            <w:hideMark/>
          </w:tcPr>
          <w:p w:rsidR="005A5585" w:rsidRPr="003E3F88" w:rsidRDefault="005A5585" w:rsidP="005A5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56" w:type="dxa"/>
            <w:hideMark/>
          </w:tcPr>
          <w:p w:rsidR="005A5585" w:rsidRPr="003E3F88" w:rsidRDefault="005A5585" w:rsidP="005A5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44" w:type="dxa"/>
            <w:hideMark/>
          </w:tcPr>
          <w:p w:rsidR="005A5585" w:rsidRPr="003E3F88" w:rsidRDefault="005A5585" w:rsidP="005A5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</w:tbl>
    <w:p w:rsidR="002816B0" w:rsidRPr="003E3F88" w:rsidRDefault="002816B0" w:rsidP="00281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96" w:type="dxa"/>
        <w:tblInd w:w="96" w:type="dxa"/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9E0C57" w:rsidRPr="003E3F88" w:rsidTr="00F0233D">
        <w:trPr>
          <w:cantSplit/>
          <w:trHeight w:val="20"/>
          <w:tblHeader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3E3F88" w:rsidRDefault="009E0C57" w:rsidP="00F02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421E9" w:rsidRPr="003E3F88" w:rsidTr="00586372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бюджета города Ставрополя,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16 358 865,27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17 698 091,33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16 659 028,30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14 540 318,02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12 515 539,11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12 603 579,75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12 693 105,00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12 784 139,10</w:t>
            </w:r>
          </w:p>
        </w:tc>
      </w:tr>
      <w:tr w:rsidR="000421E9" w:rsidRPr="003E3F88" w:rsidTr="00586372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421E9" w:rsidRPr="003E3F88" w:rsidTr="00586372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реализацию муниципальных  программ города Ставрополя,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15 387 938,07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16 320 481,20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15 302 575,80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13 336 277,73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11 185 253,73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10 579 832,25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10 579 832,25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0421E9" w:rsidRPr="003E3F88" w:rsidRDefault="000421E9" w:rsidP="001B3F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10 580 262,25</w:t>
            </w:r>
          </w:p>
        </w:tc>
      </w:tr>
      <w:tr w:rsidR="000421E9" w:rsidRPr="003E3F88" w:rsidTr="00A0661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421E9" w:rsidRPr="003E3F88" w:rsidTr="00A0661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6 165 459,96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8 189 096,30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8 566 509,60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8 607 100,34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6 512 090,71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5 917 725,74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5 917 725,74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5 917 725,74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10 067,54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10 069,17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5 251,46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4 128 649,03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3 953 958,95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2 813 717,33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2 200 765,38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2 147 108,12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2 147 108,12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2 147 108,12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2 147 108,12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D115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</w:t>
            </w:r>
            <w:r w:rsidR="00D115A3"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осуществление дорожной деятельности и обеспечение безопасности дорожного движения</w:t>
            </w: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территории города Ставрополя, благоустройство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3 650 559,20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2 003 573,53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2 006 767,44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940 476,33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941 401,53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941 401,53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941 401,53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941 401,53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3 538,52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2 499,57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9 488,30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D115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жильем </w:t>
            </w:r>
            <w:r w:rsidR="00D115A3"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населения </w:t>
            </w: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</w:t>
            </w:r>
            <w:r w:rsidR="00D115A3"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Ставропол</w:t>
            </w:r>
            <w:r w:rsidR="00D115A3"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</w:t>
            </w: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14 080,83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83 574,66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18 375,85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22 626,58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22 175,13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7 404,63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699 841,68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725 139,82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607 707,79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597 780,91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599 056,97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598 571,58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598 571,58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598 571,58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241 766,29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243 923,61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268 989,84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220 931,34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221 123,64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221 123,64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221 123,64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221 123,64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11 739,66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14 266,57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15 928,61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15 930,28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15 932,02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15 932,02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15 932,02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15 932,02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80 520,84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100 354,72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254 800,00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24 212,80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15 366,32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23 395,69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11 359,23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11 400,36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11 400,36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11 400,36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11 400,36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11 738,78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128 578,41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123 823,17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123 995,45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124 174,64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124 174,64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124 174,64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124 174,64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администрации города Ставрополя, отраслевых (функциональных) и территориальных органах администрации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117,19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260,00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160 905,02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58 322,85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55 928,99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42 147,31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42 147,31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17 482,01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168 948,59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168 464,35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149 865,06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149 865,06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120 807,70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138 843,40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154 107,14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116 606,49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116 675,14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120 874,52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120 874,52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121 304,52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9 359,34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A066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2 944,00</w:t>
            </w:r>
          </w:p>
        </w:tc>
      </w:tr>
      <w:tr w:rsidR="000421E9" w:rsidRPr="003E3F88" w:rsidTr="006525AA">
        <w:trPr>
          <w:cantSplit/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37 406,39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474 929,72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196 756,90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421E9" w:rsidRPr="003E3F88" w:rsidRDefault="000421E9" w:rsidP="00042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BF7B2B" w:rsidRPr="003E3F88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Pr="003E3F88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Pr="003E3F88" w:rsidRDefault="009E0C57" w:rsidP="009E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416" w:rsidRPr="003E3F88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RPr="003E3F88" w:rsidSect="00AC3FE5"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52" w:rsidRDefault="00AE2052" w:rsidP="004C66C0">
      <w:pPr>
        <w:spacing w:after="0" w:line="240" w:lineRule="auto"/>
      </w:pPr>
      <w:r>
        <w:separator/>
      </w:r>
    </w:p>
  </w:endnote>
  <w:endnote w:type="continuationSeparator" w:id="1">
    <w:p w:rsidR="00AE2052" w:rsidRDefault="00AE2052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52" w:rsidRDefault="00AE2052" w:rsidP="004C66C0">
      <w:pPr>
        <w:spacing w:after="0" w:line="240" w:lineRule="auto"/>
      </w:pPr>
      <w:r>
        <w:separator/>
      </w:r>
    </w:p>
  </w:footnote>
  <w:footnote w:type="continuationSeparator" w:id="1">
    <w:p w:rsidR="00AE2052" w:rsidRDefault="00AE2052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414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B5627" w:rsidRPr="00DA7949" w:rsidRDefault="00E71E8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A7949">
          <w:rPr>
            <w:rFonts w:ascii="Times New Roman" w:hAnsi="Times New Roman"/>
            <w:sz w:val="28"/>
            <w:szCs w:val="28"/>
          </w:rPr>
          <w:fldChar w:fldCharType="begin"/>
        </w:r>
        <w:r w:rsidR="009B5627" w:rsidRPr="00DA794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A7949">
          <w:rPr>
            <w:rFonts w:ascii="Times New Roman" w:hAnsi="Times New Roman"/>
            <w:sz w:val="28"/>
            <w:szCs w:val="28"/>
          </w:rPr>
          <w:fldChar w:fldCharType="separate"/>
        </w:r>
        <w:r w:rsidR="00786FED">
          <w:rPr>
            <w:rFonts w:ascii="Times New Roman" w:hAnsi="Times New Roman"/>
            <w:noProof/>
            <w:sz w:val="28"/>
            <w:szCs w:val="28"/>
          </w:rPr>
          <w:t>3</w:t>
        </w:r>
        <w:r w:rsidRPr="00DA79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27" w:rsidRDefault="009B56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1E9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372"/>
    <w:rsid w:val="000775E2"/>
    <w:rsid w:val="00080E7F"/>
    <w:rsid w:val="00081419"/>
    <w:rsid w:val="00082150"/>
    <w:rsid w:val="000835A5"/>
    <w:rsid w:val="00084BB4"/>
    <w:rsid w:val="00087CE2"/>
    <w:rsid w:val="00090457"/>
    <w:rsid w:val="00090C6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4344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A7F3E"/>
    <w:rsid w:val="001B0768"/>
    <w:rsid w:val="001B103A"/>
    <w:rsid w:val="001B3119"/>
    <w:rsid w:val="001B3FD4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1F4C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68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66E46"/>
    <w:rsid w:val="00270E84"/>
    <w:rsid w:val="00271B48"/>
    <w:rsid w:val="00272A68"/>
    <w:rsid w:val="00274009"/>
    <w:rsid w:val="00275AE7"/>
    <w:rsid w:val="00275B6D"/>
    <w:rsid w:val="00277082"/>
    <w:rsid w:val="0028050B"/>
    <w:rsid w:val="002816B0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56BE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B4C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0268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188D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1BC7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7725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472"/>
    <w:rsid w:val="003B5B35"/>
    <w:rsid w:val="003B638A"/>
    <w:rsid w:val="003B6A10"/>
    <w:rsid w:val="003B6AE1"/>
    <w:rsid w:val="003B6E6B"/>
    <w:rsid w:val="003B7549"/>
    <w:rsid w:val="003C0091"/>
    <w:rsid w:val="003C0430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1A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3F88"/>
    <w:rsid w:val="003E590F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3AC8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4AA7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A8B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2AA6"/>
    <w:rsid w:val="004838CF"/>
    <w:rsid w:val="00483D49"/>
    <w:rsid w:val="0048404C"/>
    <w:rsid w:val="00485BD1"/>
    <w:rsid w:val="00486195"/>
    <w:rsid w:val="00486E55"/>
    <w:rsid w:val="00487058"/>
    <w:rsid w:val="0049031D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63F"/>
    <w:rsid w:val="004B37A1"/>
    <w:rsid w:val="004B67BF"/>
    <w:rsid w:val="004C09FB"/>
    <w:rsid w:val="004C1178"/>
    <w:rsid w:val="004C12AC"/>
    <w:rsid w:val="004C21FC"/>
    <w:rsid w:val="004C30FA"/>
    <w:rsid w:val="004C4348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94F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7A0"/>
    <w:rsid w:val="00503F08"/>
    <w:rsid w:val="00504304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288"/>
    <w:rsid w:val="0052459B"/>
    <w:rsid w:val="0052469D"/>
    <w:rsid w:val="00526C12"/>
    <w:rsid w:val="00530B28"/>
    <w:rsid w:val="005317B8"/>
    <w:rsid w:val="0053291A"/>
    <w:rsid w:val="00532A84"/>
    <w:rsid w:val="00532C54"/>
    <w:rsid w:val="00534EB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06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86372"/>
    <w:rsid w:val="00590134"/>
    <w:rsid w:val="00590976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A5585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394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6A24"/>
    <w:rsid w:val="005F710D"/>
    <w:rsid w:val="005F7469"/>
    <w:rsid w:val="005F7E90"/>
    <w:rsid w:val="00600CC9"/>
    <w:rsid w:val="006013C8"/>
    <w:rsid w:val="00602CEE"/>
    <w:rsid w:val="0060361F"/>
    <w:rsid w:val="006045A6"/>
    <w:rsid w:val="00604A69"/>
    <w:rsid w:val="00606029"/>
    <w:rsid w:val="00610DCF"/>
    <w:rsid w:val="00611063"/>
    <w:rsid w:val="00613370"/>
    <w:rsid w:val="006146D1"/>
    <w:rsid w:val="006153C1"/>
    <w:rsid w:val="006153CB"/>
    <w:rsid w:val="006208B0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396A"/>
    <w:rsid w:val="006449E5"/>
    <w:rsid w:val="006450D2"/>
    <w:rsid w:val="00646609"/>
    <w:rsid w:val="00646627"/>
    <w:rsid w:val="00647B04"/>
    <w:rsid w:val="006525AA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358B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438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96A29"/>
    <w:rsid w:val="006A0FF6"/>
    <w:rsid w:val="006A1BCA"/>
    <w:rsid w:val="006A3F3A"/>
    <w:rsid w:val="006A4248"/>
    <w:rsid w:val="006A430D"/>
    <w:rsid w:val="006A52C3"/>
    <w:rsid w:val="006A5CAA"/>
    <w:rsid w:val="006A6314"/>
    <w:rsid w:val="006A670F"/>
    <w:rsid w:val="006A67D6"/>
    <w:rsid w:val="006A694D"/>
    <w:rsid w:val="006A6EA4"/>
    <w:rsid w:val="006A725E"/>
    <w:rsid w:val="006B0A3F"/>
    <w:rsid w:val="006B10A6"/>
    <w:rsid w:val="006B11BA"/>
    <w:rsid w:val="006B18FA"/>
    <w:rsid w:val="006B3EA9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5C69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4D54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46E3"/>
    <w:rsid w:val="007350E3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4DC7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76A3F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6FED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3069"/>
    <w:rsid w:val="007D3E55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67CA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273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32A1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4DED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1CF4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97F82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09C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6D7C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8F54AE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35F30"/>
    <w:rsid w:val="00936F02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A91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075"/>
    <w:rsid w:val="009715F2"/>
    <w:rsid w:val="00973D15"/>
    <w:rsid w:val="00975698"/>
    <w:rsid w:val="00977599"/>
    <w:rsid w:val="00977966"/>
    <w:rsid w:val="00981583"/>
    <w:rsid w:val="00982A97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1ED1"/>
    <w:rsid w:val="009B231E"/>
    <w:rsid w:val="009B3DFC"/>
    <w:rsid w:val="009B5627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C57"/>
    <w:rsid w:val="009E0E41"/>
    <w:rsid w:val="009E1644"/>
    <w:rsid w:val="009E259D"/>
    <w:rsid w:val="009E2DD0"/>
    <w:rsid w:val="009E2E83"/>
    <w:rsid w:val="009E4034"/>
    <w:rsid w:val="009E4863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0E0B"/>
    <w:rsid w:val="00A0226D"/>
    <w:rsid w:val="00A036FA"/>
    <w:rsid w:val="00A0661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8E4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A53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A45"/>
    <w:rsid w:val="00AD4CD9"/>
    <w:rsid w:val="00AD5EA8"/>
    <w:rsid w:val="00AE1484"/>
    <w:rsid w:val="00AE161B"/>
    <w:rsid w:val="00AE1F6B"/>
    <w:rsid w:val="00AE2052"/>
    <w:rsid w:val="00AE2BDA"/>
    <w:rsid w:val="00AE2CB8"/>
    <w:rsid w:val="00AE3F03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624F"/>
    <w:rsid w:val="00B07DCB"/>
    <w:rsid w:val="00B10C2C"/>
    <w:rsid w:val="00B10C6F"/>
    <w:rsid w:val="00B10F1C"/>
    <w:rsid w:val="00B122B3"/>
    <w:rsid w:val="00B12AB4"/>
    <w:rsid w:val="00B132BE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3CED"/>
    <w:rsid w:val="00B344CB"/>
    <w:rsid w:val="00B375EE"/>
    <w:rsid w:val="00B40391"/>
    <w:rsid w:val="00B41CCF"/>
    <w:rsid w:val="00B4268E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1C73"/>
    <w:rsid w:val="00B62458"/>
    <w:rsid w:val="00B62AAE"/>
    <w:rsid w:val="00B62FDC"/>
    <w:rsid w:val="00B63205"/>
    <w:rsid w:val="00B6346B"/>
    <w:rsid w:val="00B634DA"/>
    <w:rsid w:val="00B64136"/>
    <w:rsid w:val="00B64584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5E14"/>
    <w:rsid w:val="00BA75DD"/>
    <w:rsid w:val="00BA7A1F"/>
    <w:rsid w:val="00BB0A19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D730E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B52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3BF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3597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B7E14"/>
    <w:rsid w:val="00CC13DF"/>
    <w:rsid w:val="00CC183B"/>
    <w:rsid w:val="00CC18FF"/>
    <w:rsid w:val="00CC1F6F"/>
    <w:rsid w:val="00CC20A1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A64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07F5B"/>
    <w:rsid w:val="00D10CDE"/>
    <w:rsid w:val="00D10D78"/>
    <w:rsid w:val="00D10D95"/>
    <w:rsid w:val="00D115A3"/>
    <w:rsid w:val="00D11874"/>
    <w:rsid w:val="00D11F42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C56"/>
    <w:rsid w:val="00D24F6D"/>
    <w:rsid w:val="00D25FCB"/>
    <w:rsid w:val="00D270BB"/>
    <w:rsid w:val="00D27A38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9BE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A69E2"/>
    <w:rsid w:val="00DA7949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2FB2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1CA2"/>
    <w:rsid w:val="00DD299D"/>
    <w:rsid w:val="00DD49F7"/>
    <w:rsid w:val="00DD5116"/>
    <w:rsid w:val="00DD6053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5647"/>
    <w:rsid w:val="00DE686B"/>
    <w:rsid w:val="00DE6B8D"/>
    <w:rsid w:val="00DF0FB4"/>
    <w:rsid w:val="00DF3285"/>
    <w:rsid w:val="00DF3A2A"/>
    <w:rsid w:val="00DF5265"/>
    <w:rsid w:val="00DF5513"/>
    <w:rsid w:val="00DF5B1A"/>
    <w:rsid w:val="00DF6A73"/>
    <w:rsid w:val="00DF6FD6"/>
    <w:rsid w:val="00DF7C6E"/>
    <w:rsid w:val="00E017DC"/>
    <w:rsid w:val="00E03898"/>
    <w:rsid w:val="00E039EE"/>
    <w:rsid w:val="00E04DF9"/>
    <w:rsid w:val="00E058C2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240C"/>
    <w:rsid w:val="00E3522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5CC3"/>
    <w:rsid w:val="00E46158"/>
    <w:rsid w:val="00E4663E"/>
    <w:rsid w:val="00E50DBF"/>
    <w:rsid w:val="00E51CEC"/>
    <w:rsid w:val="00E537CF"/>
    <w:rsid w:val="00E53B5B"/>
    <w:rsid w:val="00E53BFC"/>
    <w:rsid w:val="00E55850"/>
    <w:rsid w:val="00E5596D"/>
    <w:rsid w:val="00E559E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046"/>
    <w:rsid w:val="00E7026A"/>
    <w:rsid w:val="00E71454"/>
    <w:rsid w:val="00E71E86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296"/>
    <w:rsid w:val="00ED5AA1"/>
    <w:rsid w:val="00ED5BF4"/>
    <w:rsid w:val="00ED67FB"/>
    <w:rsid w:val="00ED6A7C"/>
    <w:rsid w:val="00ED6B74"/>
    <w:rsid w:val="00EE007A"/>
    <w:rsid w:val="00EE047B"/>
    <w:rsid w:val="00EE2333"/>
    <w:rsid w:val="00EE5FC6"/>
    <w:rsid w:val="00EE7613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233D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B73"/>
    <w:rsid w:val="00F27DB6"/>
    <w:rsid w:val="00F30F4A"/>
    <w:rsid w:val="00F341A0"/>
    <w:rsid w:val="00F35041"/>
    <w:rsid w:val="00F35D03"/>
    <w:rsid w:val="00F36EB7"/>
    <w:rsid w:val="00F37BB5"/>
    <w:rsid w:val="00F403D6"/>
    <w:rsid w:val="00F4053B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6A24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6C48"/>
    <w:rsid w:val="00F6789A"/>
    <w:rsid w:val="00F67ECF"/>
    <w:rsid w:val="00F70B25"/>
    <w:rsid w:val="00F71AC3"/>
    <w:rsid w:val="00F73EDF"/>
    <w:rsid w:val="00F748C0"/>
    <w:rsid w:val="00F74C7A"/>
    <w:rsid w:val="00F756DF"/>
    <w:rsid w:val="00F75771"/>
    <w:rsid w:val="00F75A1D"/>
    <w:rsid w:val="00F77940"/>
    <w:rsid w:val="00F80EC4"/>
    <w:rsid w:val="00F828CB"/>
    <w:rsid w:val="00F82EF9"/>
    <w:rsid w:val="00F83778"/>
    <w:rsid w:val="00F84444"/>
    <w:rsid w:val="00F857BB"/>
    <w:rsid w:val="00F866D3"/>
    <w:rsid w:val="00F86DC1"/>
    <w:rsid w:val="00F90271"/>
    <w:rsid w:val="00F91262"/>
    <w:rsid w:val="00F91DC0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32C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09BB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  <w:style w:type="character" w:styleId="af2">
    <w:name w:val="Hyperlink"/>
    <w:basedOn w:val="a1"/>
    <w:uiPriority w:val="99"/>
    <w:semiHidden/>
    <w:unhideWhenUsed/>
    <w:rsid w:val="005C1394"/>
    <w:rPr>
      <w:color w:val="0000FF"/>
      <w:u w:val="single"/>
    </w:rPr>
  </w:style>
  <w:style w:type="paragraph" w:styleId="af3">
    <w:name w:val="Title"/>
    <w:basedOn w:val="a0"/>
    <w:link w:val="af4"/>
    <w:qFormat/>
    <w:rsid w:val="009B5627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f4">
    <w:name w:val="Название Знак"/>
    <w:basedOn w:val="a1"/>
    <w:link w:val="af3"/>
    <w:rsid w:val="009B5627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DC05688907A8B9AB63C55B672F790A7B479C0DD4996152A6B5672C91A744C86B09F3C6B30A6255490489C77Ck1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82C52349B289AF2B6FA3B864BEFA97220D53EE5404B597A0D75498989EFAD1D8B9D1A597B6043C0D33B4F7CB4B7F98BF5D7AF0DA9253FF4FBB297V2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F128-7192-4A6E-80AE-B539DE75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Y.Gomzina</dc:creator>
  <cp:lastModifiedBy>407402168</cp:lastModifiedBy>
  <cp:revision>2</cp:revision>
  <cp:lastPrinted>2023-01-26T15:06:00Z</cp:lastPrinted>
  <dcterms:created xsi:type="dcterms:W3CDTF">2024-02-06T06:55:00Z</dcterms:created>
  <dcterms:modified xsi:type="dcterms:W3CDTF">2024-02-06T06:55:00Z</dcterms:modified>
</cp:coreProperties>
</file>