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spacing w:line="240" w:lineRule="exact"/>
        <w:ind w:left="5041"/>
        <w:jc w:val="right"/>
        <w:rPr>
          <w:sz w:val="26"/>
        </w:rPr>
      </w:pPr>
    </w:p>
    <w:p w14:paraId="05000000">
      <w:pPr>
        <w:widowControl w:val="1"/>
        <w:spacing w:line="240" w:lineRule="exact"/>
        <w:ind w:left="5041"/>
        <w:jc w:val="center"/>
        <w:rPr>
          <w:sz w:val="26"/>
        </w:rPr>
      </w:pPr>
    </w:p>
    <w:p w14:paraId="06000000">
      <w:pPr>
        <w:widowControl w:val="1"/>
        <w:spacing w:line="240" w:lineRule="exact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ИНФОРМАЦИЯ </w:t>
      </w:r>
    </w:p>
    <w:p w14:paraId="07000000">
      <w:pPr>
        <w:widowControl w:val="1"/>
        <w:spacing w:line="240" w:lineRule="exac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результатах проведения оценки регулирующего воздействия проектов </w:t>
      </w:r>
    </w:p>
    <w:p w14:paraId="08000000">
      <w:pPr>
        <w:widowControl w:val="1"/>
        <w:spacing w:line="240" w:lineRule="exact"/>
        <w:ind/>
        <w:jc w:val="center"/>
        <w:rPr>
          <w:b w:val="1"/>
          <w:sz w:val="28"/>
        </w:rPr>
      </w:pPr>
      <w:r>
        <w:rPr>
          <w:b w:val="1"/>
          <w:sz w:val="28"/>
        </w:rPr>
        <w:t>мун</w:t>
      </w:r>
      <w:r>
        <w:rPr>
          <w:b w:val="1"/>
          <w:sz w:val="28"/>
        </w:rPr>
        <w:t>и</w:t>
      </w:r>
      <w:r>
        <w:rPr>
          <w:b w:val="1"/>
          <w:sz w:val="28"/>
        </w:rPr>
        <w:t>ципал</w:t>
      </w:r>
      <w:r>
        <w:rPr>
          <w:b w:val="1"/>
          <w:sz w:val="28"/>
        </w:rPr>
        <w:t>ьных нормативных правовых актов</w:t>
      </w:r>
    </w:p>
    <w:p w14:paraId="09000000">
      <w:pPr>
        <w:widowControl w:val="1"/>
        <w:spacing w:line="240" w:lineRule="exact"/>
        <w:ind/>
        <w:jc w:val="center"/>
        <w:rPr>
          <w:b w:val="1"/>
          <w:sz w:val="26"/>
        </w:rPr>
      </w:pPr>
    </w:p>
    <w:tbl>
      <w:tblPr>
        <w:tblStyle w:val="Style_3"/>
        <w:tblW w:type="auto" w:w="0"/>
        <w:tblLayout w:type="fixed"/>
      </w:tblPr>
      <w:tblGrid>
        <w:gridCol w:w="720"/>
        <w:gridCol w:w="152"/>
        <w:gridCol w:w="6349"/>
        <w:gridCol w:w="1661"/>
        <w:gridCol w:w="1323"/>
      </w:tblGrid>
      <w:tr>
        <w:trPr>
          <w:trHeight w:hRule="atLeast" w:val="533"/>
        </w:trPr>
        <w:tc>
          <w:tcPr>
            <w:tcW w:type="dxa" w:w="102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1. ОБЩИЕ СВЕДЕНИЯ</w:t>
            </w:r>
          </w:p>
        </w:tc>
      </w:tr>
      <w:tr>
        <w:trPr>
          <w:trHeight w:hRule="atLeast" w:val="578"/>
        </w:trPr>
        <w:tc>
          <w:tcPr>
            <w:tcW w:type="dxa" w:w="7221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муниципального образования Ставропольск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го края</w:t>
            </w:r>
          </w:p>
        </w:tc>
        <w:tc>
          <w:tcPr>
            <w:tcW w:type="dxa" w:w="2984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Дата составления</w:t>
            </w:r>
          </w:p>
        </w:tc>
      </w:tr>
      <w:tr>
        <w:trPr>
          <w:trHeight w:hRule="atLeast" w:val="418"/>
        </w:trPr>
        <w:tc>
          <w:tcPr>
            <w:tcW w:type="dxa" w:w="7221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город Ставрополь</w:t>
            </w:r>
          </w:p>
        </w:tc>
        <w:tc>
          <w:tcPr>
            <w:tcW w:type="dxa" w:w="2984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» </w:t>
            </w:r>
            <w:r>
              <w:rPr>
                <w:sz w:val="22"/>
              </w:rPr>
              <w:t>февраля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г.</w:t>
            </w:r>
          </w:p>
        </w:tc>
      </w:tr>
      <w:tr>
        <w:trPr>
          <w:trHeight w:hRule="atLeast" w:val="844"/>
        </w:trPr>
        <w:tc>
          <w:tcPr>
            <w:tcW w:type="dxa" w:w="10205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2. Проведение оценки регулирующего воздействия проектов НПА органов местного </w:t>
            </w:r>
          </w:p>
          <w:p w14:paraId="1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самоуправления муниципальных образований Ставропольского края, затрагивающих </w:t>
            </w:r>
          </w:p>
          <w:p w14:paraId="1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вопросы осуществления предпринимательской и </w:t>
            </w:r>
            <w:r>
              <w:rPr>
                <w:b w:val="1"/>
                <w:sz w:val="22"/>
              </w:rPr>
              <w:t xml:space="preserve">иной экономической </w:t>
            </w:r>
            <w:r>
              <w:rPr>
                <w:b w:val="1"/>
                <w:sz w:val="22"/>
              </w:rPr>
              <w:t xml:space="preserve">деятельности </w:t>
            </w:r>
          </w:p>
        </w:tc>
      </w:tr>
      <w:t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2.1.</w:t>
            </w:r>
          </w:p>
        </w:tc>
        <w:tc>
          <w:tcPr>
            <w:tcW w:type="dxa" w:w="81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00000">
            <w:pPr>
              <w:widowControl w:val="1"/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проектов НПА, в отношении которых проведена ОРВ</w:t>
            </w:r>
          </w:p>
        </w:tc>
        <w:tc>
          <w:tcPr>
            <w:tcW w:type="dxa" w:w="1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17</w:t>
            </w:r>
          </w:p>
        </w:tc>
      </w:tr>
      <w:tr>
        <w:tc>
          <w:tcPr>
            <w:tcW w:type="dxa" w:w="102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00000">
            <w:pPr>
              <w:widowControl w:val="1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</w:t>
            </w:r>
            <w:r>
              <w:rPr>
                <w:color w:val="000000"/>
                <w:sz w:val="22"/>
              </w:rPr>
              <w:t>ро</w:t>
            </w:r>
            <w:r>
              <w:rPr>
                <w:rStyle w:val="Style_4_ch"/>
                <w:color w:val="000000"/>
                <w:sz w:val="22"/>
              </w:rPr>
              <w:t xml:space="preserve">ведена процедура ОРВ </w:t>
            </w:r>
            <w:r>
              <w:rPr>
                <w:rStyle w:val="Style_4_ch"/>
                <w:color w:val="000000"/>
                <w:sz w:val="22"/>
              </w:rPr>
              <w:t>семнадцати</w:t>
            </w:r>
            <w:r>
              <w:rPr>
                <w:rStyle w:val="Style_4_ch"/>
                <w:color w:val="000000"/>
                <w:sz w:val="22"/>
              </w:rPr>
              <w:t xml:space="preserve"> НПА, затрагивающих вопросы осуществления </w:t>
            </w:r>
            <w:r>
              <w:rPr>
                <w:rStyle w:val="Style_4_ch"/>
                <w:color w:val="000000"/>
                <w:sz w:val="22"/>
              </w:rPr>
              <w:br/>
            </w:r>
            <w:r>
              <w:rPr>
                <w:rStyle w:val="Style_4_ch"/>
                <w:color w:val="000000"/>
                <w:sz w:val="22"/>
              </w:rPr>
              <w:t>предпринима</w:t>
            </w:r>
            <w:r>
              <w:rPr>
                <w:rStyle w:val="Style_4_ch"/>
                <w:color w:val="000000"/>
                <w:sz w:val="22"/>
              </w:rPr>
              <w:t>тел</w:t>
            </w:r>
            <w:r>
              <w:rPr>
                <w:rStyle w:val="Style_4_ch"/>
                <w:color w:val="000000"/>
                <w:sz w:val="22"/>
              </w:rPr>
              <w:t>ь</w:t>
            </w:r>
            <w:r>
              <w:rPr>
                <w:rStyle w:val="Style_4_ch"/>
                <w:color w:val="000000"/>
                <w:sz w:val="22"/>
              </w:rPr>
              <w:t xml:space="preserve">ской и </w:t>
            </w:r>
            <w:r>
              <w:rPr>
                <w:rStyle w:val="Style_4_ch"/>
                <w:color w:val="000000"/>
                <w:sz w:val="22"/>
              </w:rPr>
              <w:t>иной экономической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rStyle w:val="Style_4_ch"/>
                <w:color w:val="000000"/>
                <w:sz w:val="22"/>
              </w:rPr>
              <w:t xml:space="preserve">деятельности. В результате положительные заключения </w:t>
            </w:r>
            <w:r>
              <w:rPr>
                <w:rStyle w:val="Style_4_ch"/>
                <w:color w:val="000000"/>
                <w:sz w:val="22"/>
              </w:rPr>
              <w:br/>
            </w:r>
            <w:r>
              <w:rPr>
                <w:rStyle w:val="Style_4_ch"/>
                <w:color w:val="000000"/>
                <w:sz w:val="22"/>
              </w:rPr>
              <w:t>по итогам ОРВ получи</w:t>
            </w:r>
            <w:r>
              <w:rPr>
                <w:rStyle w:val="Style_4_ch"/>
                <w:color w:val="000000"/>
                <w:sz w:val="22"/>
              </w:rPr>
              <w:t xml:space="preserve">ли </w:t>
            </w:r>
            <w:r>
              <w:rPr>
                <w:rStyle w:val="Style_4_ch"/>
                <w:color w:val="000000"/>
                <w:sz w:val="22"/>
              </w:rPr>
              <w:t>следующие проекты м</w:t>
            </w:r>
            <w:r>
              <w:rPr>
                <w:rStyle w:val="Style_4_ch"/>
                <w:color w:val="000000"/>
                <w:sz w:val="22"/>
              </w:rPr>
              <w:t>у</w:t>
            </w:r>
            <w:r>
              <w:rPr>
                <w:rStyle w:val="Style_4_ch"/>
                <w:color w:val="000000"/>
                <w:sz w:val="22"/>
              </w:rPr>
              <w:t>ниципальных НПА:</w:t>
            </w:r>
          </w:p>
          <w:p w14:paraId="16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"https://stavropol.gosuslugi.ru/netcat_files/324/3388/zaklyuchenie_orv_szpk.pdf"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Проект постановления администрации города Ставрополя «Об утверждении Порядка и условий заключения соглашений о защите и поощрении капиталовложений со стороны муниципального образования города Ставрополя Ставропольского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 xml:space="preserve"> края»;</w:t>
            </w:r>
          </w:p>
          <w:p w14:paraId="17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t xml:space="preserve">постановления администрации города Ставрополя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"https://stavropol.gosuslugi.ru/netcat_files/324/3388/Zaklyuchenie_zempalata.pdf"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«Об установлении предельных (максимальных) тарифов на услуги (работы), предоставляемые (выполняемые) МУП «Земельная палата»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</w:p>
          <w:p w14:paraId="18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 «О внесении изменений в постановление администрации города Ставрополя от 02.06.2017 № 945 «О Порядке предоставления субсидий субъектам МСП, осуществляющим деятельность на территории города Ставрополя, на частичное возмещение затрат в приоритетных сферах деятельности, за счет средств бюджета города Ставрополя,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9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"https://stavropol.gosuslugi.ru/netcat_files/324/3388/2178.pdf"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«Об утверждении Порядка предоставления субсидий субъектам малого предпринимательства, осуществляющим деятельность на территории города Ставрополя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 xml:space="preserve"> Ставропольского края»;</w:t>
            </w:r>
          </w:p>
          <w:p w14:paraId="1A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t xml:space="preserve">постановления администрации города Ставрополя </w:t>
            </w:r>
            <w:r>
              <w:rPr>
                <w:rStyle w:val="Style_4_ch"/>
                <w:color w:val="000000"/>
                <w:sz w:val="22"/>
              </w:rPr>
              <w:t>«Об установлении предельных (максимальных) тарифов на услуги по плавлению снега с применением мобильной снегоплавильной установки «VULCAN – 100М»;</w:t>
            </w:r>
          </w:p>
          <w:p w14:paraId="1B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</w:t>
            </w:r>
            <w:r>
              <w:rPr>
                <w:rStyle w:val="Style_4_ch"/>
                <w:color w:val="000000"/>
                <w:sz w:val="22"/>
              </w:rPr>
              <w:t xml:space="preserve"> «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"https://stavropol.gosuslugi.ru/netcat_files/324/3388/111_20240131_172049.pdf"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Об утверждении Адресного перечня ярмарочных площадок на 2024 год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C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 постановления администрации города</w:t>
            </w:r>
            <w:r>
              <w:rPr>
                <w:rStyle w:val="Style_4_ch"/>
                <w:color w:val="000000"/>
                <w:sz w:val="22"/>
              </w:rPr>
              <w:t xml:space="preserve"> Ставрополя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"https://stavropol.gosuslugi.ru/netcat_files/324/3388/04.07.2024_2.pdf"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«О внесении изменений в постановление администрации города Ставрополя от 08.04.2021 № 656 «Об утверждении Схемы размещения отдельных видов некапитальных нестационарных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 xml:space="preserve"> сооружений на территории города Ставрополя»;</w:t>
            </w:r>
          </w:p>
          <w:p w14:paraId="1D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"https://stavropol.gosuslugi.ru/netcat_files/324/3388/04.07.2024.pdf"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Проект постановления администрации города Ставрополя «Об установлении на территории города Ставрополя единых предельных (максимальных) тарифов на платные образовательные услуги, оказываемые муниципальными бюджетными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 xml:space="preserve"> и автономными учреждениями дополнительного образования, подведомственными комитету культуры и молодежной политики администрации города Ставрополя»;</w:t>
            </w:r>
          </w:p>
          <w:p w14:paraId="1E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"https://xn--80ae1alafffj1i.xn--p1ai/files/KER/2020-08-01/%D0%97%D0%B0%D0%BA%D0%BB%D1%8E%D1%87%D0%B5%D0%BD%D0%B8%D0%B5%20%D0%A1%D0%94%D0%9A%D0%A1.pdf"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 xml:space="preserve"> постановления администрации города Ставрополя «О внесении изменения в пункт 1 постановления администрации города Ставрополя от 30.03.2023 № 679 «Об установлении предельных (максимальных) тарифов на услуги, предоставляемые муниципальным автономным учреждением культуры «Ставропольский Дворец культуры и спорта» города Ставрополя»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F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"https://xn--80ae1alafffj1i.xn--p1ai/files/KER/2020-08-01/%D0%97%D0%B0%D0%BA%D0%BB%D1%8E%D1%87%D0%B5%D0%BD%D0%B8%D0%B5_%D1%8F%D1%80%D0%BC%D0%B0%D1%80%D0%BA%D0%B8.pdf"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 «Об утверждении Адресного перечня ярмарочных площадок на 2025 год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0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"https://xn--80ae1alafffj1i.xn--p1ai/files/KER/2020-08-01/%D0%9E%D0%A0%D0%9222.PDF"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Проект постановления администрации города Ставрополя «Об установлении предельных (максимальных) тарифов на услуги (работы), предоставляемые (выполняемые) муниципальным унитарным предприятием города Ставрополя «Издательский дом «Вечерний Ставрополь»;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</w:p>
          <w:p w14:paraId="21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"https://xn--80ae1alafffj1i.xn--p1ai/files/%D0%97%D0%B0%D0%BA%D0%BB%D1%8E%D1%87%D0%B5%D0%BD%D0%B8%D0%B5_%D0%B7%D0%B5%D0%BC%D0%BF%D0%B0%D0%BB%D0%B0%D1%82%D0%B0.pdf"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 «Об установлении предельных (максимальных) тарифов на услуги (работы), предоставляемые (выполняемые) муниципальным унитарным предприятием города Ставрополя «Земельная палата»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2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"https://xn--80ae1alafffj1i.xn--p1ai/files/%D0%97%D0%B0%D0%BA%D0%BB%D1%8E%D1%87%D0%B5%D0%BD%D0%B8%D0%B5_%D0%B7%D0%B5%D0%BC%D0%BF%D0%B0%D0%BB%D0%B0%D1%82%D0%B0.pdf"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 «Об установлении предельных (максимальных) тарифов на услуги, предоставляемые муниципальным унитарным предприятием «Жемчуг» города Ставрополя»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3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"https://xn--80ae1alafffj1i.xn--p1ai/files/%D0%97%D0%B0%D0%BA%D0%BB%D1%8E%D1%87%D0%B5%D0%BD%D0%B8%D0%B5_%D0%B7%D0%B5%D0%BC%D0%BF%D0%B0%D0%BB%D0%B0%D1%82%D0%B0.pdf"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постановления администрации города Ставрополя «Об определении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 xml:space="preserve"> количества торговых мест на универсальных рынках муниципального образования города Ставрополя Ставропольского края, предоставляемых для осуществления деятельности по продаже сельскохозяйственной продукции гражданами –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животноводством»;</w:t>
            </w:r>
          </w:p>
          <w:p w14:paraId="24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</w:t>
            </w:r>
            <w:r>
              <w:rPr>
                <w:rStyle w:val="Style_4_ch"/>
                <w:color w:val="000000"/>
                <w:sz w:val="22"/>
              </w:rPr>
              <w:t>оект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"https://xn--80ae1alafffj1i.xn--p1ai/files/%D0%97%D0%B0%D0%BA%D0%BB%D1%8E%D1%87%D0%B5%D0%BD%D0%B8%D0%B5_%D0%BE%D1%80%D0%B2_%D0%B7%D0%B5%D0%BC%D0%BA%D0%BE%D0%BD%D1%82%D1%80%D0%BE%D0%BB%D1%8C.pdf"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 xml:space="preserve"> решения Ставропольской городской Думы «О внесении изменений в Положение о муниципальном земельном контроле на территории муниципального образования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5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 решения Ставропольской городской Думы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"https://xn--80ae1alafffj1i.xn--p1ai/files/%D0%97%D0%B0%D0%BA%D0%BB%D1%8E%D1%87%D0%B5%D0%BD%D0%B8%D0%B5%20(1).pdf"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>«О внесении изменений в Положение о муниципальном земельном контроле на территории муниципального образования города Ставрополя Ставропольского края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6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rStyle w:val="Style_4_ch"/>
                <w:color w:val="000000"/>
                <w:sz w:val="22"/>
              </w:rPr>
              <w:fldChar w:fldCharType="begin"/>
            </w:r>
            <w:r>
              <w:rPr>
                <w:rStyle w:val="Style_4_ch"/>
                <w:color w:val="000000"/>
                <w:sz w:val="22"/>
              </w:rPr>
              <w:instrText>HYPERLINK "https://xn--80ae1alafffj1i.xn--p1ai/files/KER/2020-08-01/%D0%97%D0%B0%D0%BA%D0%BB%D1%8E%D1%87%D0%B5%D0%BD%D0%B8%D0%B51%20(1222).pdf"</w:instrText>
            </w:r>
            <w:r>
              <w:rPr>
                <w:rStyle w:val="Style_4_ch"/>
                <w:color w:val="000000"/>
                <w:sz w:val="22"/>
              </w:rPr>
              <w:fldChar w:fldCharType="separate"/>
            </w:r>
            <w:r>
              <w:rPr>
                <w:rStyle w:val="Style_4_ch"/>
                <w:color w:val="000000"/>
                <w:sz w:val="22"/>
              </w:rPr>
              <w:t xml:space="preserve"> решения Ставропольской городской Думы «О внесении изменений в Схе</w:t>
            </w:r>
            <w:r>
              <w:rPr>
                <w:rStyle w:val="Style_4_ch"/>
                <w:color w:val="000000"/>
                <w:sz w:val="22"/>
              </w:rPr>
              <w:t>му размещения рекламных конструкций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fldChar w:fldCharType="end"/>
            </w:r>
            <w:r>
              <w:rPr>
                <w:rStyle w:val="Style_4_ch"/>
                <w:color w:val="000000"/>
                <w:sz w:val="22"/>
              </w:rPr>
              <w:t>;</w:t>
            </w:r>
          </w:p>
        </w:tc>
      </w:tr>
      <w:tr>
        <w:tc>
          <w:tcPr>
            <w:tcW w:type="dxa" w:w="8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2.2.</w:t>
            </w:r>
          </w:p>
        </w:tc>
        <w:tc>
          <w:tcPr>
            <w:tcW w:type="dxa" w:w="80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00000">
            <w:pPr>
              <w:widowControl w:val="1"/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подготовленных заключений об ОРВ проектов НПА</w:t>
            </w:r>
          </w:p>
        </w:tc>
        <w:tc>
          <w:tcPr>
            <w:tcW w:type="dxa" w:w="1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17</w:t>
            </w:r>
          </w:p>
        </w:tc>
      </w:tr>
      <w:tr>
        <w:trPr>
          <w:trHeight w:hRule="atLeast" w:val="208"/>
        </w:trPr>
        <w:tc>
          <w:tcPr>
            <w:tcW w:type="dxa" w:w="102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0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>Подготовлено</w:t>
            </w:r>
            <w:r>
              <w:rPr>
                <w:sz w:val="22"/>
              </w:rPr>
              <w:t xml:space="preserve"> семнадцать</w:t>
            </w:r>
            <w:r>
              <w:rPr>
                <w:sz w:val="22"/>
              </w:rPr>
              <w:t xml:space="preserve"> заключени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 xml:space="preserve"> о результатах проведения ОРВ</w:t>
            </w:r>
          </w:p>
        </w:tc>
      </w:tr>
      <w:tr>
        <w:tc>
          <w:tcPr>
            <w:tcW w:type="dxa" w:w="8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2.3.</w:t>
            </w:r>
          </w:p>
        </w:tc>
        <w:tc>
          <w:tcPr>
            <w:tcW w:type="dxa" w:w="80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проектов НПА, в отношении которых сделан вывод об о</w:t>
            </w:r>
            <w:r>
              <w:rPr>
                <w:b w:val="1"/>
                <w:sz w:val="22"/>
              </w:rPr>
              <w:t>т</w:t>
            </w:r>
            <w:r>
              <w:rPr>
                <w:b w:val="1"/>
                <w:sz w:val="22"/>
              </w:rPr>
              <w:t>сутствии необходимости проведения ОРВ</w:t>
            </w:r>
          </w:p>
        </w:tc>
        <w:tc>
          <w:tcPr>
            <w:tcW w:type="dxa" w:w="1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–</w:t>
            </w:r>
          </w:p>
        </w:tc>
      </w:tr>
    </w:tbl>
    <w:p w14:paraId="2E000000"/>
    <w:sectPr>
      <w:headerReference r:id="rId1" w:type="default"/>
      <w:headerReference r:id="rId2" w:type="even"/>
      <w:pgSz w:h="16838" w:orient="portrait" w:w="11906"/>
      <w:pgMar w:bottom="567" w:footer="680" w:gutter="0" w:header="454" w:left="1134" w:right="567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Прижатый влево"/>
    <w:basedOn w:val="Style_4"/>
    <w:next w:val="Style_4"/>
    <w:link w:val="Style_5_ch"/>
    <w:pPr>
      <w:widowControl w:val="0"/>
      <w:ind/>
    </w:pPr>
    <w:rPr>
      <w:rFonts w:ascii="Arial" w:hAnsi="Arial"/>
    </w:rPr>
  </w:style>
  <w:style w:styleId="Style_5_ch" w:type="character">
    <w:name w:val="Прижатый влево"/>
    <w:basedOn w:val="Style_4_ch"/>
    <w:link w:val="Style_5"/>
    <w:rPr>
      <w:rFonts w:ascii="Arial" w:hAnsi="Arial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footer"/>
    <w:basedOn w:val="Style_4"/>
    <w:link w:val="Style_7_ch"/>
    <w:pPr>
      <w:widowControl w:val="1"/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4_ch"/>
    <w:link w:val="Style_7"/>
  </w:style>
  <w:style w:styleId="Style_8" w:type="paragraph">
    <w:name w:val="toc 4"/>
    <w:next w:val="Style_4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Balloon Text"/>
    <w:basedOn w:val="Style_4"/>
    <w:link w:val="Style_10_ch"/>
    <w:rPr>
      <w:rFonts w:ascii="Tahoma" w:hAnsi="Tahoma"/>
      <w:sz w:val="16"/>
    </w:rPr>
  </w:style>
  <w:style w:styleId="Style_10_ch" w:type="character">
    <w:name w:val="Balloon Text"/>
    <w:basedOn w:val="Style_4_ch"/>
    <w:link w:val="Style_10"/>
    <w:rPr>
      <w:rFonts w:ascii="Tahoma" w:hAnsi="Tahoma"/>
      <w:sz w:val="16"/>
    </w:rPr>
  </w:style>
  <w:style w:styleId="Style_11" w:type="paragraph">
    <w:name w:val="toc 7"/>
    <w:next w:val="Style_4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link w:val="Style_13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3_ch" w:type="character">
    <w:name w:val="heading 3"/>
    <w:basedOn w:val="Style_4_ch"/>
    <w:link w:val="Style_13"/>
    <w:rPr>
      <w:b w:val="1"/>
      <w:sz w:val="27"/>
    </w:rPr>
  </w:style>
  <w:style w:styleId="Style_14" w:type="paragraph">
    <w:name w:val="footnote reference"/>
    <w:link w:val="Style_14_ch"/>
    <w:rPr>
      <w:vertAlign w:val="superscript"/>
    </w:rPr>
  </w:style>
  <w:style w:styleId="Style_14_ch" w:type="character">
    <w:name w:val="footnote reference"/>
    <w:link w:val="Style_14"/>
    <w:rPr>
      <w:vertAlign w:val="superscript"/>
    </w:rPr>
  </w:style>
  <w:style w:styleId="Style_15" w:type="paragraph">
    <w:name w:val="Default"/>
    <w:link w:val="Style_15_ch"/>
    <w:rPr>
      <w:rFonts w:ascii="Arial" w:hAnsi="Arial"/>
      <w:color w:val="000000"/>
      <w:sz w:val="24"/>
    </w:rPr>
  </w:style>
  <w:style w:styleId="Style_15_ch" w:type="character">
    <w:name w:val="Default"/>
    <w:link w:val="Style_15"/>
    <w:rPr>
      <w:rFonts w:ascii="Arial" w:hAnsi="Arial"/>
      <w:color w:val="000000"/>
      <w:sz w:val="24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6" w:type="paragraph">
    <w:name w:val="toc 3"/>
    <w:next w:val="Style_4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sPlusTitle"/>
    <w:link w:val="Style_17_ch"/>
    <w:pPr>
      <w:widowControl w:val="0"/>
      <w:ind/>
    </w:pPr>
    <w:rPr>
      <w:rFonts w:ascii="Calibri" w:hAnsi="Calibri"/>
      <w:b w:val="1"/>
      <w:sz w:val="22"/>
    </w:rPr>
  </w:style>
  <w:style w:styleId="Style_17_ch" w:type="character">
    <w:name w:val="ConsPlusTitle"/>
    <w:link w:val="Style_17"/>
    <w:rPr>
      <w:rFonts w:ascii="Calibri" w:hAnsi="Calibri"/>
      <w:b w:val="1"/>
      <w:sz w:val="22"/>
    </w:rPr>
  </w:style>
  <w:style w:styleId="Style_18" w:type="paragraph">
    <w:name w:val="List Paragraph"/>
    <w:basedOn w:val="Style_4"/>
    <w:link w:val="Style_18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8_ch" w:type="character">
    <w:name w:val="List Paragraph"/>
    <w:basedOn w:val="Style_4_ch"/>
    <w:link w:val="Style_18"/>
    <w:rPr>
      <w:rFonts w:ascii="Calibri" w:hAnsi="Calibri"/>
      <w:sz w:val="22"/>
    </w:rPr>
  </w:style>
  <w:style w:styleId="Style_19" w:type="paragraph">
    <w:name w:val="heading 5"/>
    <w:next w:val="Style_4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ConsPlusNormal"/>
    <w:link w:val="Style_20_ch"/>
    <w:rPr>
      <w:sz w:val="22"/>
    </w:rPr>
  </w:style>
  <w:style w:styleId="Style_20_ch" w:type="character">
    <w:name w:val="ConsPlusNormal"/>
    <w:link w:val="Style_20"/>
    <w:rPr>
      <w:sz w:val="22"/>
    </w:rPr>
  </w:style>
  <w:style w:styleId="Style_21" w:type="paragraph">
    <w:name w:val="heading 1"/>
    <w:next w:val="Style_4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basedOn w:val="Style_4"/>
    <w:link w:val="Style_23_ch"/>
    <w:rPr>
      <w:sz w:val="20"/>
    </w:rPr>
  </w:style>
  <w:style w:styleId="Style_23_ch" w:type="character">
    <w:name w:val="Footnote"/>
    <w:basedOn w:val="Style_4_ch"/>
    <w:link w:val="Style_23"/>
    <w:rPr>
      <w:sz w:val="20"/>
    </w:rPr>
  </w:style>
  <w:style w:styleId="Style_24" w:type="paragraph">
    <w:name w:val="toc 1"/>
    <w:next w:val="Style_4"/>
    <w:link w:val="Style_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Normal (Web)"/>
    <w:basedOn w:val="Style_4"/>
    <w:link w:val="Style_26_ch"/>
    <w:pPr>
      <w:widowControl w:val="1"/>
      <w:spacing w:afterAutospacing="on" w:beforeAutospacing="on"/>
      <w:ind/>
    </w:pPr>
  </w:style>
  <w:style w:styleId="Style_26_ch" w:type="character">
    <w:name w:val="Normal (Web)"/>
    <w:basedOn w:val="Style_4_ch"/>
    <w:link w:val="Style_26"/>
  </w:style>
  <w:style w:styleId="Style_27" w:type="paragraph">
    <w:name w:val="toc 9"/>
    <w:next w:val="Style_4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4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34" w:type="paragraph">
    <w:name w:val="heading 2"/>
    <w:next w:val="Style_4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2025-02-07T12:33:59Z</dcterms:created>
  <dcterms:modified xsi:type="dcterms:W3CDTF">2025-02-11T09:56:18Z</dcterms:modified>
</cp:coreProperties>
</file>