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29" w:rsidRPr="00D61729" w:rsidRDefault="00D61729" w:rsidP="00D61729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D61729" w:rsidRDefault="00584439" w:rsidP="00584439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4439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hyperlink r:id="rId8" w:history="1">
        <w:r w:rsidRPr="00D61729">
          <w:rPr>
            <w:rFonts w:ascii="Times New Roman" w:hAnsi="Times New Roman" w:cs="Times New Roman"/>
            <w:sz w:val="28"/>
            <w:szCs w:val="28"/>
          </w:rPr>
          <w:t>подпрограмм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D6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Pr="00D61729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 на 2014 - 2017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="00D61729" w:rsidRPr="00D61729">
        <w:rPr>
          <w:rFonts w:ascii="Times New Roman" w:hAnsi="Times New Roman" w:cs="Times New Roman"/>
          <w:sz w:val="28"/>
          <w:szCs w:val="28"/>
        </w:rPr>
        <w:t>за 201</w:t>
      </w:r>
      <w:r w:rsidR="00D61729">
        <w:rPr>
          <w:rFonts w:ascii="Times New Roman" w:hAnsi="Times New Roman" w:cs="Times New Roman"/>
          <w:sz w:val="28"/>
          <w:szCs w:val="28"/>
        </w:rPr>
        <w:t>4</w:t>
      </w:r>
      <w:r w:rsidR="00D61729" w:rsidRPr="00D617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в 2014 году реализовывалась </w:t>
      </w:r>
      <w:hyperlink r:id="rId9" w:history="1">
        <w:r w:rsidRPr="00D6172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D6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Pr="00D61729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 на 2014 - 2017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Ставрополя от 31.10.2013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729">
        <w:rPr>
          <w:rFonts w:ascii="Times New Roman" w:hAnsi="Times New Roman" w:cs="Times New Roman"/>
          <w:sz w:val="28"/>
          <w:szCs w:val="28"/>
        </w:rPr>
        <w:t xml:space="preserve"> 3834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 на 2014 - 2017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 (далее - подпрограмма 1). Общий объем финансирования подпрограммы 1 в 2014 году составил 2898,67 тыс. рублей.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10" w:history="1">
        <w:r w:rsidRPr="00D61729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D61729"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оказание финансовой, имущественной, информационной, консультационной поддержки субъектам малого и среднего предпринимательства, осуществляющим деятельность на территории города Ставрополя, а также поддержки субъектов малого и среднего предпринимательства в области инноваций.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целях повышения грамотности и информированности предпринимателей города Ставрополя разработано и издано 400 информационно-справочных пособий по вопросам нормативного и правового регулирования деятельности субъектов малого и среднего предпринимательства, учитывающих изменение законодательства, регулирующего вопросы ведения предпринимательской деятельности. Для оказания информационной поддержки субъектов малого и среднего предпринимательства осуществлял работу сайт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Малое и среднее предпринимательство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>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Проведенное социологическое исследование состояния малого и среднего предпринимательства в городе Ставрополе, реакции деловых кругов на принимаемые органами местного самоуправления города Ставрополя правовые акты, регулирующие предпринимательскую деятельность, </w:t>
      </w:r>
      <w:proofErr w:type="gramStart"/>
      <w:r w:rsidRPr="00D61729">
        <w:rPr>
          <w:rFonts w:ascii="Times New Roman" w:hAnsi="Times New Roman" w:cs="Times New Roman"/>
          <w:sz w:val="28"/>
          <w:szCs w:val="28"/>
        </w:rPr>
        <w:t>показало</w:t>
      </w:r>
      <w:proofErr w:type="gramEnd"/>
      <w:r w:rsidRPr="00D61729">
        <w:rPr>
          <w:rFonts w:ascii="Times New Roman" w:hAnsi="Times New Roman" w:cs="Times New Roman"/>
          <w:sz w:val="28"/>
          <w:szCs w:val="28"/>
        </w:rPr>
        <w:t xml:space="preserve"> что стратегическим фактором, определяющим устойчивое развитие экономики города Ставрополя, является именно развитие малого и среднего предпринимательства. Сокращение количества средних и малых предприятий может иметь негативные последствия экономического характера, и именно поддержка малого и среднего предпринимательства рассматривается в качестве одного из приоритетных направлений социально-экономического развития города Ставрополя.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города Ставрополя на безвозмездной основе оказывалась консультационная и информационная поддержка при их обращении в центр по развитию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Скорая помощь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D6172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729">
        <w:rPr>
          <w:rFonts w:ascii="Times New Roman" w:hAnsi="Times New Roman" w:cs="Times New Roman"/>
          <w:sz w:val="28"/>
          <w:szCs w:val="28"/>
        </w:rPr>
        <w:t xml:space="preserve"> центр). За 2014 год центром оказано 500 консультаций по различным </w:t>
      </w:r>
      <w:r w:rsidRPr="00D61729">
        <w:rPr>
          <w:rFonts w:ascii="Times New Roman" w:hAnsi="Times New Roman" w:cs="Times New Roman"/>
          <w:sz w:val="28"/>
          <w:szCs w:val="28"/>
        </w:rPr>
        <w:lastRenderedPageBreak/>
        <w:t>аспектам ведения предпринимательской деятельности.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>Для оказания поддержки субъектам малого и среднего предпринимательства в области подготовки, переподготовки и повышения квалификации кадров администрацией города Ставрополя проведено бесплатно 7 семинаров, 2 круглых стола, одна научно-практическая конференция. В рамках проведения научно-практической конференции проведены 3 рабочие встречи по актуальным вопросам развития субъектов малого и среднего предпринимательства. Во встречах приняли участие более 450 предпринимателей города Ставрополя.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целях пропаганды достижений, роли и места малого и среднего предпринимательства в социально-экономическом развитии города Ставрополя в рамках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День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 проведен городской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>. В данном конкурсе приняли участие более 250 представителей предпринимательского сообщества города Ставрополя. По итогам конкурса определены победители по 8 номинациям.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2014 году для выявления новых инновационных проектов и создания условий для их реализации администрацией города Ставрополя совместно с министерством экономического развития Ставропольского края и министерством энергетики, промышленности и связи Ставропольского края проведена городская выставка-конкурс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Инновации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729">
        <w:rPr>
          <w:rFonts w:ascii="Times New Roman" w:hAnsi="Times New Roman" w:cs="Times New Roman"/>
          <w:sz w:val="28"/>
          <w:szCs w:val="28"/>
        </w:rPr>
        <w:t xml:space="preserve"> выставка-конкурс). Всего в выставке-конкурсе принимали участие 53 участника, представлено 66 инновационных проектов. Большая часть представленных проектов является разработками молодых ученых, аспирантов и студентов ведущих высших учебных заведений города Ставрополя.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>26 ноября 2014 года проведено заседание Координационного совета по развитию малого и среднего предпринимательства при администрации города Ставрополя, на котором были рассмотрены вопросы о нефинансовых мерах поддержки и новых формах финансовой поддержки субъектов малого и среднего предпринимательства города Ставрополя в 2015 году. В рамках заседания был осуществлен отбор предпринимателей города Ставрополя для предоставления им субсидий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11" w:history="1">
        <w:r w:rsidRPr="00D61729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D61729">
        <w:rPr>
          <w:rFonts w:ascii="Times New Roman" w:hAnsi="Times New Roman" w:cs="Times New Roman"/>
          <w:sz w:val="28"/>
          <w:szCs w:val="28"/>
        </w:rPr>
        <w:t xml:space="preserve"> предоставлены субсидии 3 субъектам малого и среднего предпринимательства, осуществляющим деятельность на территории города Ставрополя, на общую сумму 900,0 тыс. рублей.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товаропроизводителей Ставропольского края и насыщения городского потребительского рынка качественной плодоовощной продукцией по доступным ценам в рамках проведения 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29">
        <w:rPr>
          <w:rFonts w:ascii="Times New Roman" w:hAnsi="Times New Roman" w:cs="Times New Roman"/>
          <w:sz w:val="28"/>
          <w:szCs w:val="28"/>
        </w:rPr>
        <w:t>Овощи к подъезду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29"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с </w:t>
      </w:r>
      <w:r w:rsidRPr="00D61729">
        <w:rPr>
          <w:rFonts w:ascii="Times New Roman" w:hAnsi="Times New Roman" w:cs="Times New Roman"/>
          <w:sz w:val="28"/>
          <w:szCs w:val="28"/>
        </w:rPr>
        <w:lastRenderedPageBreak/>
        <w:t>министерством сельского хозяйства Ставропольского края.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>Разработаны графики поставок в город сельскохозяйственной продукции, привлечено свыше 30 товаропроизводителей Ставропольского края, организовано их закрепление за администрациями районов города Ставрополя. Места для размещения автомобилей товаропроизводителей Ставропольского края предоставляются на безвозмездной основе.</w:t>
      </w:r>
    </w:p>
    <w:p w:rsidR="00D61729" w:rsidRPr="00D61729" w:rsidRDefault="00D61729" w:rsidP="00D6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729">
        <w:rPr>
          <w:rFonts w:ascii="Times New Roman" w:hAnsi="Times New Roman" w:cs="Times New Roman"/>
          <w:sz w:val="28"/>
          <w:szCs w:val="28"/>
        </w:rPr>
        <w:t xml:space="preserve">Заключено 173 договора на поставку продукции, ежедневно поставки осуществлялись по 35 адресам города. Продано 4100 тонн сельскохозяйственной продукции на общую сумму 75 </w:t>
      </w:r>
      <w:proofErr w:type="spellStart"/>
      <w:proofErr w:type="gramStart"/>
      <w:r w:rsidRPr="00D6172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1729">
        <w:rPr>
          <w:rFonts w:ascii="Times New Roman" w:hAnsi="Times New Roman" w:cs="Times New Roman"/>
          <w:sz w:val="28"/>
          <w:szCs w:val="28"/>
        </w:rPr>
        <w:t xml:space="preserve"> рублей: овощей - 1820 тонн, фруктов - 410 тонн, бахчевых культур - 516 тонн.</w:t>
      </w:r>
    </w:p>
    <w:p w:rsidR="00CC286B" w:rsidRPr="00D61729" w:rsidRDefault="00CC286B" w:rsidP="00D617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C286B" w:rsidRPr="00D61729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5F" w:rsidRDefault="0073185F">
      <w:pPr>
        <w:spacing w:after="0" w:line="240" w:lineRule="auto"/>
      </w:pPr>
      <w:r>
        <w:separator/>
      </w:r>
    </w:p>
  </w:endnote>
  <w:endnote w:type="continuationSeparator" w:id="0">
    <w:p w:rsidR="0073185F" w:rsidRDefault="007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5F" w:rsidRDefault="0073185F">
      <w:pPr>
        <w:spacing w:after="0" w:line="240" w:lineRule="auto"/>
      </w:pPr>
      <w:r>
        <w:separator/>
      </w:r>
    </w:p>
  </w:footnote>
  <w:footnote w:type="continuationSeparator" w:id="0">
    <w:p w:rsidR="0073185F" w:rsidRDefault="0073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61BB"/>
    <w:rsid w:val="00077EF2"/>
    <w:rsid w:val="00080A5B"/>
    <w:rsid w:val="00085A28"/>
    <w:rsid w:val="00090FE4"/>
    <w:rsid w:val="000931AF"/>
    <w:rsid w:val="00093AFE"/>
    <w:rsid w:val="000A5413"/>
    <w:rsid w:val="000D0A22"/>
    <w:rsid w:val="000D151E"/>
    <w:rsid w:val="000E4493"/>
    <w:rsid w:val="000F5B61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83773"/>
    <w:rsid w:val="004853EE"/>
    <w:rsid w:val="004A5C8F"/>
    <w:rsid w:val="004B18A3"/>
    <w:rsid w:val="004B7815"/>
    <w:rsid w:val="004C2D9A"/>
    <w:rsid w:val="004C7970"/>
    <w:rsid w:val="004D139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84439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4151A"/>
    <w:rsid w:val="006443F3"/>
    <w:rsid w:val="0066416B"/>
    <w:rsid w:val="00673D4D"/>
    <w:rsid w:val="00694E4B"/>
    <w:rsid w:val="006A4360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3185F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1729"/>
    <w:rsid w:val="00D62367"/>
    <w:rsid w:val="00D65881"/>
    <w:rsid w:val="00D6633C"/>
    <w:rsid w:val="00D66B14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172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19E953DAB4FD1816CC1D807F46F917C8292639A58A39E533BDF61BDFD06A7D9DEFB94967A6457AED73CDFF93C952C6E55FB038C3DCFDDD72A16d4O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19E953DAB4FD1816CC1D807F46F917C8292639A58A39E533BDF61BDFD06A7D9DEFB94967A6457AED73CDFF93C952C6E55FB038C3DCFDDD72A16d4O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519E953DAB4FD1816CC1D807F46F917C8292639A58A39E533BDF61BDFD06A7D9DEFB94967A6457AED73CDFF93C952C6E55FB038C3DCFDDD72A16d4O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19E953DAB4FD1816CC1D807F46F917C8292639A58A39E533BDF61BDFD06A7D9DEFB94967A6457AED73CDFF93C952C6E55FB038C3DCFDDD72A16d4O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063E-1A0D-4380-9201-5DF83883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3</cp:revision>
  <cp:lastPrinted>2015-04-10T07:08:00Z</cp:lastPrinted>
  <dcterms:created xsi:type="dcterms:W3CDTF">2020-08-07T09:51:00Z</dcterms:created>
  <dcterms:modified xsi:type="dcterms:W3CDTF">2020-08-07T11:55:00Z</dcterms:modified>
</cp:coreProperties>
</file>