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 II. Информационная карта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Ставрополя.                    Формы документов.</w:t>
      </w:r>
    </w:p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tabs>
          <w:tab w:leader="none" w:pos="0" w:val="left"/>
          <w:tab w:leader="none" w:pos="760" w:val="clear"/>
        </w:tabs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Реестровый номер 1-КО/24.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1"/>
        <w:tabs>
          <w:tab w:leader="none" w:pos="0" w:val="left"/>
          <w:tab w:leader="none" w:pos="760" w:val="clear"/>
        </w:tabs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 Информационная карта конкурсного отбора </w:t>
      </w:r>
    </w:p>
    <w:p w14:paraId="06000000">
      <w:pPr>
        <w:pStyle w:val="Style_1"/>
        <w:tabs>
          <w:tab w:leader="none" w:pos="0" w:val="left"/>
          <w:tab w:leader="none" w:pos="760" w:val="clear"/>
        </w:tabs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право размещения нестационарных торговых объектов </w:t>
      </w:r>
    </w:p>
    <w:p w14:paraId="07000000">
      <w:pPr>
        <w:pStyle w:val="Style_1"/>
        <w:tabs>
          <w:tab w:leader="none" w:pos="0" w:val="left"/>
          <w:tab w:leader="none" w:pos="760" w:val="clear"/>
        </w:tabs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продаже плодоовощной продукции сельскохозяйственными товаропроизводителями на территории города Ставрополя.</w:t>
      </w:r>
    </w:p>
    <w:p w14:paraId="08000000">
      <w:pPr>
        <w:spacing w:after="0"/>
        <w:ind/>
        <w:rPr>
          <w:rFonts w:ascii="Times New Roman" w:hAnsi="Times New Roman"/>
        </w:rPr>
      </w:pPr>
    </w:p>
    <w:p w14:paraId="09000000">
      <w:pPr>
        <w:keepLines w:val="1"/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Следующая информация и данные для конкретного конкурсного отбора изменяют и/или дополняют положения Части I. «Общая часть» конкурсной документации. При возникновении противоречия между положениями, закрепленными в Части I. «Общая часть» конкурсной документации, и положениями настоящей Информационной карты, применяются положения Информационной карты.</w:t>
      </w:r>
    </w:p>
    <w:tbl>
      <w:tblPr>
        <w:tblStyle w:val="Style_2"/>
        <w:tblW w:type="auto" w:w="0"/>
        <w:tblInd w:type="dxa" w:w="108"/>
        <w:tblLayout w:type="fixed"/>
      </w:tblPr>
      <w:tblGrid>
        <w:gridCol w:w="567"/>
        <w:gridCol w:w="2279"/>
        <w:gridCol w:w="665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keepLines w:val="1"/>
              <w:widowControl w:val="0"/>
              <w:spacing w:after="0"/>
              <w:ind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№</w:t>
            </w:r>
          </w:p>
          <w:p w14:paraId="0B000000">
            <w:pPr>
              <w:keepLines w:val="1"/>
              <w:widowControl w:val="0"/>
              <w:spacing w:after="0"/>
              <w:ind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п</w:t>
            </w:r>
            <w:r>
              <w:rPr>
                <w:b w:val="1"/>
                <w:i w:val="1"/>
                <w:sz w:val="22"/>
              </w:rPr>
              <w:t>/</w:t>
            </w:r>
            <w:r>
              <w:rPr>
                <w:b w:val="1"/>
                <w:i w:val="1"/>
                <w:sz w:val="22"/>
              </w:rPr>
              <w:t>п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keepLines w:val="1"/>
              <w:widowControl w:val="0"/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 xml:space="preserve">Наименование </w:t>
            </w:r>
          </w:p>
          <w:p w14:paraId="0D000000">
            <w:pPr>
              <w:keepLines w:val="1"/>
              <w:widowControl w:val="0"/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пункта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keepLines w:val="1"/>
              <w:widowControl w:val="0"/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  <w:sz w:val="22"/>
              </w:rPr>
              <w:t>Текст пояснений</w:t>
            </w:r>
          </w:p>
        </w:tc>
      </w:tr>
      <w:tr>
        <w:trPr>
          <w:trHeight w:hRule="atLeast" w:val="92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1.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0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Организатор конкурсного отбора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r>
              <w:rPr>
                <w:rFonts w:ascii="Times New Roman" w:hAnsi="Times New Roman"/>
                <w:sz w:val="24"/>
              </w:rPr>
              <w:t>Коста</w:t>
            </w:r>
            <w:r>
              <w:rPr>
                <w:rFonts w:ascii="Times New Roman" w:hAnsi="Times New Roman"/>
                <w:sz w:val="24"/>
              </w:rPr>
              <w:t xml:space="preserve"> Хетагурова, 8, тел. (8652) 23-98-72, факс. 8(8652) 26-04-36</w:t>
            </w:r>
          </w:p>
          <w:p w14:paraId="12000000">
            <w:pPr>
              <w:pStyle w:val="Style_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instrText>HYPERLINK "mailto:stavtorg@inbox.ru" \o "mailto:stavtorg@inbox.ru"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stavtorg@inbox.ru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Контактное лицо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Зоричева</w:t>
            </w:r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</w:tr>
      <w:tr>
        <w:trPr>
          <w:trHeight w:hRule="atLeast" w:val="849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5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2.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6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Предмет </w:t>
            </w:r>
          </w:p>
          <w:p w14:paraId="17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конкурсного отбора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1 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 Став</w:t>
            </w:r>
            <w:r>
              <w:rPr>
                <w:rFonts w:ascii="Times New Roman" w:hAnsi="Times New Roman"/>
              </w:rPr>
              <w:t>рополь, улица Комсомольская, 48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9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 –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Размещение автолавки по продаже плодоовощной продукции 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 Ставрополь, улица Лазо, 127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Пригородная, 215/1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Октябрьская, 235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9 января, 8 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Биологическая, 10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Косенко, 1 е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1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Ленина, 120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Лермонтова, 257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Магистральная, 16/1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Мира, 232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Мира, 239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13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Мичурина, 57 б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14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Пестеля, 5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15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переулок Прикумский, 5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Атаманская, 42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17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Бабушкина, 2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18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Бурмистрова, 4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Кавалерийская, 35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Лот № </w:t>
            </w:r>
            <w:r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Репина, 198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Трунова, 134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Чапаева, 11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Чапаева, 54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2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проезд Ботанический, 14 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3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проезд Братский, 3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3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проезд Фестивальный, 7а</w:t>
            </w:r>
            <w:r>
              <w:rPr>
                <w:rFonts w:ascii="Times New Roman" w:hAnsi="Times New Roman"/>
              </w:rPr>
              <w:t xml:space="preserve"> 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3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Доваторцев, 67/2 </w:t>
            </w:r>
            <w:r>
              <w:rPr>
                <w:rFonts w:ascii="Times New Roman" w:hAnsi="Times New Roman"/>
              </w:rPr>
              <w:t>(площадь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33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Ставрополь, улица Тельмана, 234</w:t>
            </w:r>
            <w:r>
              <w:rPr>
                <w:rFonts w:ascii="Times New Roman" w:hAnsi="Times New Roman"/>
              </w:rPr>
              <w:t xml:space="preserve"> (пл</w:t>
            </w:r>
            <w:r>
              <w:rPr>
                <w:rFonts w:ascii="Times New Roman" w:hAnsi="Times New Roman"/>
              </w:rPr>
              <w:t>ощадь – 10,0 кв. м)</w:t>
            </w:r>
            <w:r>
              <w:rPr>
                <w:rFonts w:ascii="Times New Roman" w:hAnsi="Times New Roman"/>
              </w:rPr>
              <w:t>.</w:t>
            </w:r>
          </w:p>
          <w:p w14:paraId="3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Лот № 2</w:t>
            </w: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Размещение автолавки по продаже плодоовощной продукции по адресу: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Ставрополь, улица Октябрьская, 186/1 </w:t>
            </w:r>
            <w:r>
              <w:rPr>
                <w:rFonts w:ascii="Times New Roman" w:hAnsi="Times New Roman"/>
              </w:rPr>
              <w:t xml:space="preserve"> (пл</w:t>
            </w:r>
            <w:r>
              <w:rPr>
                <w:rFonts w:ascii="Times New Roman" w:hAnsi="Times New Roman"/>
              </w:rPr>
              <w:t>ощадь – 10,0 кв. м)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1068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5000000">
            <w:pPr>
              <w:keepLines w:val="1"/>
              <w:widowControl w:val="0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3. 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6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размещения нестационарного торгового объекта (согласно Схеме)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01.08.2024 по 15.12.2024 и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8000000">
            <w:pPr>
              <w:spacing w:after="0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9000000">
            <w:pPr>
              <w:spacing w:after="0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3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A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4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B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5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C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6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D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7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E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8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3F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9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0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10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1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11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2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12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3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13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с 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4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14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5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15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6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16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7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17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8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18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9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19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A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20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B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21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C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22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D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23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E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24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с 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4F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25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50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26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51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27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52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28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  <w:p w14:paraId="53000000">
            <w:pPr>
              <w:spacing w:after="0"/>
              <w:ind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Лот № 29 –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с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01.08.2024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по 15.12.2024 и с 15.05.по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15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.12. ежегодно  до 203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.</w:t>
            </w:r>
          </w:p>
        </w:tc>
      </w:tr>
      <w:tr>
        <w:trPr>
          <w:trHeight w:hRule="atLeast" w:val="552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4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4.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5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Участники конкурсного отбора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6000000">
            <w:pPr>
              <w:spacing w:after="0"/>
              <w:ind w:firstLine="590" w:left="0"/>
              <w:outlineLvl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Участником конкурсного отбора может быть только товаропроизводитель Ставропольского края. </w:t>
            </w:r>
          </w:p>
          <w:p w14:paraId="57000000">
            <w:pPr>
              <w:keepLines w:val="1"/>
              <w:spacing w:after="0"/>
              <w:ind w:firstLine="601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14:paraId="58000000">
            <w:pPr>
              <w:keepLines w:val="1"/>
              <w:spacing w:after="0"/>
              <w:ind w:firstLine="601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 участникам конкурсного отбора устанавливаются следующие требования: </w:t>
            </w:r>
          </w:p>
          <w:p w14:paraId="59000000">
            <w:pPr>
              <w:keepLines w:val="1"/>
              <w:spacing w:after="0"/>
              <w:ind w:firstLine="601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непроведение</w:t>
            </w:r>
            <w:r>
              <w:rPr>
                <w:rFonts w:ascii="Times New Roman" w:hAnsi="Times New Roman"/>
                <w:sz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</w:t>
            </w:r>
            <w:r>
              <w:rPr>
                <w:rFonts w:ascii="Times New Roman" w:hAnsi="Times New Roman"/>
                <w:sz w:val="22"/>
              </w:rPr>
              <w:t>несостоятельным (банкротом) и об открытии конкурсного производства;</w:t>
            </w:r>
          </w:p>
          <w:p w14:paraId="5A000000">
            <w:pPr>
              <w:keepLines w:val="1"/>
              <w:spacing w:after="0"/>
              <w:ind w:firstLine="601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неприостановление</w:t>
            </w:r>
            <w:r>
              <w:rPr>
                <w:rFonts w:ascii="Times New Roman" w:hAnsi="Times New Roman"/>
                <w:sz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14:paraId="5B000000">
            <w:pPr>
              <w:keepLines w:val="1"/>
              <w:spacing w:after="0"/>
              <w:ind w:firstLine="601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лотов, 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26 января 2022 г. № 47,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C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5.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5.1.</w:t>
            </w:r>
            <w:r>
              <w:t> </w:t>
            </w:r>
            <w:r>
              <w:rPr>
                <w:sz w:val="22"/>
              </w:rPr>
              <w:t xml:space="preserve">Требование к форме заявки на участие в </w:t>
            </w:r>
            <w:r>
              <w:rPr>
                <w:sz w:val="22"/>
              </w:rPr>
              <w:t>конкурс-ном</w:t>
            </w:r>
            <w:r>
              <w:rPr>
                <w:sz w:val="22"/>
              </w:rPr>
              <w:t xml:space="preserve"> отборе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keepLines w:val="1"/>
              <w:widowControl w:val="0"/>
              <w:spacing w:after="0"/>
              <w:ind w:firstLine="59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keepLines w:val="1"/>
              <w:widowControl w:val="0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 xml:space="preserve">5.2. Требование к содержанию и составу заявки на участие в </w:t>
            </w:r>
            <w:r>
              <w:rPr>
                <w:sz w:val="22"/>
              </w:rPr>
              <w:t>конкурс-ном</w:t>
            </w:r>
            <w:r>
              <w:rPr>
                <w:sz w:val="22"/>
              </w:rPr>
              <w:t xml:space="preserve"> отборе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5"/>
              <w:widowControl w:val="0"/>
              <w:spacing w:after="0" w:line="240" w:lineRule="auto"/>
              <w:ind w:firstLine="59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Заявка на участие в конкурсном отборе должна содержать следующее:</w:t>
            </w:r>
          </w:p>
          <w:p w14:paraId="61000000">
            <w:pPr>
              <w:spacing w:after="0"/>
              <w:ind w:firstLine="540"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5.2.1. Сведения и документы об Участнике:</w:t>
            </w:r>
          </w:p>
          <w:p w14:paraId="62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 </w:t>
            </w:r>
            <w:r>
              <w:rPr>
                <w:rFonts w:ascii="Times New Roman" w:hAnsi="Times New Roman"/>
                <w:sz w:val="22"/>
              </w:rPr>
              <w:t>фирменное наименование, сведения об организационно-правовой форме, место нахождения, почтовый адрес (для юридического лица), фамилию, имя, отчество (при наличии), паспортные данные, сведения о месте регистрации и месте жительства (для индивидуального предпринимателя), номер контактного телефона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3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 </w:t>
            </w:r>
            <w:r>
              <w:rPr>
                <w:rFonts w:ascii="Times New Roman" w:hAnsi="Times New Roman"/>
                <w:sz w:val="22"/>
              </w:rPr>
              <w:t xml:space="preserve">выписку из Единого государственного реестра юридических лиц или копию такой выписки (для юридического лица), выписку из Единого государственного реестра индивидуальных предпринимателей или копию такой выписки (для индивидуального предпринимателя) с кодами </w: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2"/>
              </w:rPr>
              <w:instrText>HYPERLINK "https://login.consultant.ru/link/?req=doc&amp;base=LAW&amp;n=468900&amp;date=31.05.2024"</w:instrTex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2"/>
              </w:rPr>
              <w:t>ОКВЭД</w: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>, согласно которым товаропроизводитель выращивает плодоовощную продукцию, полученные не ранее чем за шесть месяцев до даты размещения на официальном сайте извещения о проведении конкурсного отбора;</w:t>
            </w:r>
          </w:p>
          <w:p w14:paraId="64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 </w:t>
            </w:r>
            <w:r>
              <w:rPr>
                <w:rFonts w:ascii="Times New Roman" w:hAnsi="Times New Roman"/>
                <w:sz w:val="22"/>
              </w:rPr>
              <w:t>документ, подтверждающий полномочия лица на осуществление действий от имени Участника –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– руководитель). В случае если от имени Участника действует иное лицо, заявка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в конкурсном отборе должна содержать также документ, подтверждающий полномочия такого лица;</w:t>
            </w:r>
          </w:p>
          <w:p w14:paraId="65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4) копии учредительных документов Участника                             (для юридического лица);</w:t>
            </w:r>
          </w:p>
          <w:p w14:paraId="66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5) </w:t>
            </w:r>
            <w:r>
              <w:rPr>
                <w:rFonts w:ascii="Times New Roman" w:hAnsi="Times New Roman"/>
                <w:sz w:val="22"/>
              </w:rPr>
              <w:t>справк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 xml:space="preserve"> из городских округов, муниципальных районов, городских, сельских поселений Ставропольского края о наличии выращенной плодоовощной продукции;</w:t>
            </w:r>
          </w:p>
          <w:p w14:paraId="67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6) копии документов, подтверждающих право владения и (или) пользования земельным участком (земельными участками), на которых осуществляется выращивание плодоовощной продукции;</w:t>
            </w:r>
          </w:p>
          <w:p w14:paraId="68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7) </w:t>
            </w:r>
            <w:r>
              <w:rPr>
                <w:rFonts w:ascii="Times New Roman" w:hAnsi="Times New Roman"/>
                <w:sz w:val="22"/>
              </w:rPr>
              <w:t>заявление об отсутствии решения о ликвидации             Участника – юридического лица, об отсутствии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9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8) заявление об отсутствии решения о приостановлении деятельности Участника в порядке, установленном </w: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2"/>
                <w:u w:val="none"/>
              </w:rPr>
              <w:instrText>HYPERLINK "https://login.consultant.ru/link/?req=doc&amp;base=LAW&amp;n=475133&amp;date=31.05.2024"</w:instrTex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2"/>
                <w:u w:val="none"/>
              </w:rPr>
              <w:t>Кодексом</w:t>
            </w:r>
            <w:r>
              <w:rPr>
                <w:rStyle w:val="Style_6_ch"/>
                <w:rFonts w:ascii="Times New Roman" w:hAnsi="Times New Roman"/>
                <w:color w:val="000000"/>
                <w:sz w:val="22"/>
                <w:u w:val="none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Российской Федерации об административных правонарушениях;</w:t>
            </w:r>
          </w:p>
          <w:p w14:paraId="6A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) </w:t>
            </w:r>
            <w:r>
              <w:rPr>
                <w:rFonts w:ascii="Times New Roman" w:hAnsi="Times New Roman"/>
                <w:sz w:val="22"/>
              </w:rPr>
              <w:t>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предпринимательства.</w:t>
            </w:r>
          </w:p>
          <w:p w14:paraId="6B000000">
            <w:pPr>
              <w:spacing w:after="0"/>
              <w:ind w:firstLine="540" w:left="0"/>
              <w:outlineLvl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5.2.2. </w:t>
            </w:r>
            <w:r>
              <w:rPr>
                <w:rFonts w:ascii="Times New Roman" w:hAnsi="Times New Roman"/>
                <w:sz w:val="22"/>
              </w:rPr>
              <w:t>Сведения о нестационарном торговом объекте:</w:t>
            </w:r>
          </w:p>
          <w:p w14:paraId="6C00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1) адрес места расположения нестационарного торгового объекта; </w:t>
            </w:r>
          </w:p>
          <w:p w14:paraId="6D00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2) назначение (специализация) нестационарного торгового объекта; </w:t>
            </w:r>
          </w:p>
          <w:p w14:paraId="6E00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3) тип нестационарного торгового объекта; </w:t>
            </w:r>
          </w:p>
          <w:p w14:paraId="6F000000">
            <w:pPr>
              <w:pStyle w:val="Style_7"/>
              <w:ind w:firstLine="709" w:lef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4) срок размещения </w:t>
            </w:r>
            <w:r>
              <w:rPr>
                <w:rFonts w:ascii="Times New Roman" w:hAnsi="Times New Roman"/>
                <w:sz w:val="22"/>
              </w:rPr>
              <w:t xml:space="preserve">(установки) </w:t>
            </w:r>
            <w:r>
              <w:rPr>
                <w:rFonts w:ascii="Times New Roman" w:hAnsi="Times New Roman"/>
                <w:sz w:val="22"/>
              </w:rPr>
              <w:t>не</w:t>
            </w:r>
            <w:r>
              <w:rPr>
                <w:rFonts w:ascii="Times New Roman" w:hAnsi="Times New Roman"/>
                <w:sz w:val="22"/>
              </w:rPr>
              <w:t>стационарного торгового объекта.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keepLines w:val="1"/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5.3. Требования к оформлению заявки на участие в конкурсном отборе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7"/>
              <w:ind w:firstLine="59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14:paraId="72000000">
            <w:pPr>
              <w:pStyle w:val="Style_7"/>
              <w:ind w:firstLine="59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случае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если Участник принимает участие в конкурсном отборе в отношении нескольких лотов, то пакет документов формируется отдельно по каждому лоту следующим образом:    форма 1 «Заявка на участие в конкурсном отборе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Ставрополя» и документы, входящие в состав заявки на участие 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>
              <w:rPr>
                <w:rFonts w:ascii="Times New Roman" w:hAnsi="Times New Roman"/>
                <w:sz w:val="22"/>
              </w:rPr>
              <w:t>по продаже плодоовощной продукции сельскохозяйственными товаропроизводителями на территории города Ставрополя</w:t>
            </w:r>
            <w:r>
              <w:rPr>
                <w:rFonts w:ascii="Times New Roman" w:hAnsi="Times New Roman"/>
                <w:sz w:val="22"/>
              </w:rPr>
              <w:t xml:space="preserve">. Формы документов»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14:paraId="73000000">
            <w:pPr>
              <w:pStyle w:val="Style_7"/>
              <w:ind w:firstLine="59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14:paraId="74000000">
            <w:pPr>
              <w:pStyle w:val="Style_7"/>
              <w:ind w:firstLine="59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</w:t>
            </w:r>
            <w:r>
              <w:rPr>
                <w:rFonts w:ascii="Times New Roman" w:hAnsi="Times New Roman"/>
                <w:sz w:val="22"/>
              </w:rPr>
              <w:t xml:space="preserve">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14:paraId="75000000">
            <w:pPr>
              <w:pStyle w:val="Style_7"/>
              <w:ind w:firstLine="59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>
        <w:trPr>
          <w:trHeight w:hRule="atLeast" w:val="1068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6000000">
            <w:pPr>
              <w:keepLines w:val="1"/>
              <w:widowControl w:val="0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7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Порядок подачи заявок на участие в конкурсном отборе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8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14:paraId="79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Участник вправе подать только одну заявку на участие                  в конкурсном отборе в отношении каждого лота.</w:t>
            </w:r>
          </w:p>
          <w:p w14:paraId="7A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14:paraId="7B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14:paraId="7C000000">
            <w:pPr>
              <w:pStyle w:val="Style_8"/>
              <w:tabs>
                <w:tab w:leader="none" w:pos="180" w:val="left"/>
                <w:tab w:leader="none" w:pos="1307" w:val="left"/>
              </w:tabs>
              <w:ind w:firstLine="59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14:paraId="7D000000">
            <w:pPr>
              <w:pStyle w:val="Style_8"/>
              <w:tabs>
                <w:tab w:leader="none" w:pos="180" w:val="left"/>
                <w:tab w:leader="none" w:pos="1307" w:val="left"/>
              </w:tabs>
              <w:ind w:firstLine="59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Внесение изменений в заявки на участие в конкурсном отборе осуществляется согласно пункту 3.2 Части I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«Общая часть» конкурсной документации.</w:t>
            </w:r>
          </w:p>
          <w:p w14:paraId="7E000000">
            <w:pPr>
              <w:spacing w:after="0"/>
              <w:ind w:firstLine="54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Отзыв заявок на участие в конкурсном отборе осуществляется согласно пункту 3.3 Части I «Общая часть» конкурсной документации.</w:t>
            </w:r>
          </w:p>
        </w:tc>
      </w:tr>
      <w:tr>
        <w:trPr>
          <w:trHeight w:hRule="atLeast" w:val="1287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F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7.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0000000">
            <w:pPr>
              <w:keepLines w:val="1"/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Место, дата начала и дата, время окончания срока подачи заявок на участие в </w:t>
            </w:r>
            <w:r>
              <w:rPr>
                <w:rFonts w:ascii="Times New Roman" w:hAnsi="Times New Roman"/>
                <w:sz w:val="22"/>
              </w:rPr>
              <w:t>конкурс-ном</w:t>
            </w:r>
            <w:r>
              <w:rPr>
                <w:rFonts w:ascii="Times New Roman" w:hAnsi="Times New Roman"/>
                <w:sz w:val="22"/>
              </w:rPr>
              <w:t xml:space="preserve"> отборе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1000000">
            <w:pPr>
              <w:keepLines w:val="1"/>
              <w:widowControl w:val="0"/>
              <w:spacing w:after="0"/>
              <w:ind w:firstLine="59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Заявки на участие в конкурсном отборе принимаются                    с 14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июня</w:t>
            </w:r>
            <w:r>
              <w:rPr>
                <w:rFonts w:ascii="Times New Roman" w:hAnsi="Times New Roman"/>
                <w:sz w:val="22"/>
              </w:rPr>
              <w:t xml:space="preserve"> 2024 г. до 09 час. 15 мин. 16</w:t>
            </w:r>
            <w:r>
              <w:rPr>
                <w:rFonts w:ascii="Times New Roman" w:hAnsi="Times New Roman"/>
                <w:sz w:val="22"/>
              </w:rPr>
              <w:t xml:space="preserve"> июля 2024 г.</w:t>
            </w:r>
          </w:p>
          <w:p w14:paraId="82000000">
            <w:pPr>
              <w:keepLines w:val="1"/>
              <w:widowControl w:val="0"/>
              <w:spacing w:after="0"/>
              <w:ind w:firstLine="59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Заявки на участие в конкурсном отборе подаются по адресу: комитет экономического развития и торговли администрации                      города Ставрополя (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 xml:space="preserve">. Ставрополь, ул. К. Хетагурова, 8, </w:t>
            </w:r>
            <w:r>
              <w:rPr>
                <w:rFonts w:ascii="Times New Roman" w:hAnsi="Times New Roman"/>
                <w:sz w:val="22"/>
              </w:rPr>
              <w:t>каб</w:t>
            </w:r>
            <w:r>
              <w:rPr>
                <w:rFonts w:ascii="Times New Roman" w:hAnsi="Times New Roman"/>
                <w:sz w:val="22"/>
              </w:rPr>
              <w:t>. 303).</w:t>
            </w:r>
          </w:p>
        </w:tc>
      </w:tr>
      <w:tr>
        <w:trPr>
          <w:trHeight w:hRule="atLeast" w:val="620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3000000">
            <w:pPr>
              <w:keepLines w:val="1"/>
              <w:widowControl w:val="0"/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4000000">
            <w:pPr>
              <w:keepLines w:val="1"/>
              <w:widowControl w:val="0"/>
              <w:spacing w:after="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Порядок проведения конкурсного отбора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5000000">
            <w:pPr>
              <w:keepLines w:val="1"/>
              <w:widowControl w:val="0"/>
              <w:spacing w:after="0"/>
              <w:ind w:firstLine="59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Конкурсный отбор проводится в соответствии с пунктами    5.1-5.17 Части I «Общая часть» конкурсной документации.</w:t>
            </w:r>
          </w:p>
        </w:tc>
      </w:tr>
      <w:tr>
        <w:trPr>
          <w:trHeight w:hRule="atLeast" w:val="700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6000000">
            <w:pPr>
              <w:keepLines w:val="1"/>
              <w:widowControl w:val="0"/>
              <w:spacing w:after="0"/>
              <w:ind/>
            </w:pPr>
            <w:r>
              <w:rPr>
                <w:sz w:val="22"/>
              </w:rPr>
              <w:t>9.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7000000">
            <w:pPr>
              <w:keepLines w:val="1"/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Место, дата и время проведения конкурсного отбора</w:t>
            </w:r>
          </w:p>
        </w:tc>
        <w:tc>
          <w:tcPr>
            <w:tcW w:type="dxa" w:w="665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8000000">
            <w:pPr>
              <w:keepLines w:val="1"/>
              <w:widowControl w:val="0"/>
              <w:spacing w:after="0"/>
              <w:ind w:firstLine="59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Конкурсный отбор будет проводиться по адресу:                             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Ставрополь, ул. К. Хетагурова, 8 в 11 час. 00 мин. 11</w:t>
            </w:r>
            <w:r>
              <w:rPr>
                <w:rFonts w:ascii="Times New Roman" w:hAnsi="Times New Roman"/>
                <w:sz w:val="22"/>
              </w:rPr>
              <w:t xml:space="preserve"> июля 2024 г.</w:t>
            </w:r>
          </w:p>
        </w:tc>
      </w:tr>
    </w:tbl>
    <w:p w14:paraId="89000000">
      <w:pPr>
        <w:pStyle w:val="Style_7"/>
        <w:ind w:firstLine="708" w:left="0"/>
        <w:jc w:val="both"/>
        <w:rPr>
          <w:b w:val="1"/>
          <w:u w:val="single"/>
        </w:rPr>
      </w:pPr>
    </w:p>
    <w:p w14:paraId="8A000000">
      <w:pPr>
        <w:pStyle w:val="Style_7"/>
        <w:ind w:firstLine="708" w:left="0"/>
        <w:jc w:val="center"/>
        <w:rPr>
          <w:b w:val="1"/>
          <w:sz w:val="22"/>
          <w:u w:val="single"/>
        </w:rPr>
      </w:pPr>
    </w:p>
    <w:p w14:paraId="8B000000">
      <w:pPr>
        <w:pStyle w:val="Style_7"/>
        <w:ind w:firstLine="708" w:left="0"/>
        <w:jc w:val="center"/>
        <w:rPr>
          <w:b w:val="1"/>
          <w:sz w:val="22"/>
          <w:u w:val="single"/>
        </w:rPr>
      </w:pPr>
      <w:r>
        <w:rPr>
          <w:rFonts w:ascii="Times New Roman" w:hAnsi="Times New Roman"/>
          <w:sz w:val="22"/>
        </w:rPr>
        <w:t>Критерии оценки и сопоставления заявок на участие в конкурсном отборе</w:t>
      </w:r>
    </w:p>
    <w:tbl>
      <w:tblPr>
        <w:tblStyle w:val="Style_2"/>
        <w:tblW w:type="auto" w:w="0"/>
        <w:tblInd w:type="dxa" w:w="8"/>
        <w:tblLayout w:type="fixed"/>
        <w:tblCellMar>
          <w:left w:type="dxa" w:w="0"/>
          <w:right w:type="dxa" w:w="0"/>
        </w:tblCellMar>
      </w:tblPr>
      <w:tblGrid>
        <w:gridCol w:w="302"/>
        <w:gridCol w:w="2696"/>
        <w:gridCol w:w="3518"/>
        <w:gridCol w:w="1843"/>
        <w:gridCol w:w="1134"/>
      </w:tblGrid>
      <w:tr>
        <w:tc>
          <w:tcPr>
            <w:tcW w:type="dxa" w:w="3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8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№</w:t>
            </w:r>
          </w:p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</w:t>
            </w:r>
            <w:r>
              <w:rPr>
                <w:rFonts w:ascii="Times New Roman" w:hAnsi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</w:rPr>
              <w:t>п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2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Показатель </w:t>
            </w:r>
          </w:p>
        </w:tc>
        <w:tc>
          <w:tcPr>
            <w:tcW w:type="dxa" w:w="35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Подтверждающие документы, сведения 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0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Критерий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Количество баллов </w:t>
            </w:r>
          </w:p>
        </w:tc>
      </w:tr>
      <w:tr>
        <w:tc>
          <w:tcPr>
            <w:tcW w:type="dxa" w:w="3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  <w:tc>
          <w:tcPr>
            <w:tcW w:type="dxa" w:w="269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  <w:tc>
          <w:tcPr>
            <w:tcW w:type="dxa" w:w="35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 </w:t>
            </w:r>
          </w:p>
        </w:tc>
      </w:tr>
      <w:tr>
        <w:tc>
          <w:tcPr>
            <w:tcW w:type="dxa" w:w="30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</w:p>
        </w:tc>
        <w:tc>
          <w:tcPr>
            <w:tcW w:type="dxa" w:w="269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8000000">
            <w:pPr>
              <w:spacing w:after="0" w:line="144" w:lineRule="atLeast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Предложение Участника по внешнему виду нестационарного торгового объекта (далее </w:t>
            </w: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ВВ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) </w:t>
            </w:r>
          </w:p>
        </w:tc>
        <w:tc>
          <w:tcPr>
            <w:tcW w:type="dxa" w:w="351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9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предложение по визуализации торговой точки, фотографии оборудования; </w:t>
            </w:r>
          </w:p>
          <w:p w14:paraId="9A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предложение по оформлению уголка покупателя; </w:t>
            </w:r>
          </w:p>
          <w:p w14:paraId="9B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>наличие упаковочного оборудования/материала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место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D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место </w:t>
            </w:r>
          </w:p>
          <w:p w14:paraId="A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 т.д. </w:t>
            </w:r>
          </w:p>
        </w:tc>
        <w:tc>
          <w:tcPr>
            <w:tcW w:type="dxa" w:w="113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4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 </w:t>
            </w:r>
          </w:p>
        </w:tc>
      </w:tr>
      <w:tr>
        <w:tc>
          <w:tcPr>
            <w:tcW w:type="dxa" w:w="30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5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</w:p>
        </w:tc>
        <w:tc>
          <w:tcPr>
            <w:tcW w:type="dxa" w:w="269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6000000">
            <w:pPr>
              <w:spacing w:after="0" w:line="144" w:lineRule="atLeast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Уровень культуры и качества обслуживания населения (далее </w:t>
            </w: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УК) </w:t>
            </w:r>
          </w:p>
        </w:tc>
        <w:tc>
          <w:tcPr>
            <w:tcW w:type="dxa" w:w="351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7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фотографии форменной одежды продавцов с логотипом акции; </w:t>
            </w:r>
          </w:p>
          <w:p w14:paraId="A8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наличие информационных (рекламных) материалов; </w:t>
            </w:r>
          </w:p>
          <w:p w14:paraId="A9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образец нагрудного </w:t>
            </w:r>
            <w:r>
              <w:rPr>
                <w:rFonts w:ascii="Times New Roman" w:hAnsi="Times New Roman"/>
                <w:color w:val="000000"/>
                <w:sz w:val="22"/>
              </w:rPr>
              <w:t>бейджа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(карточки продавца); </w:t>
            </w:r>
          </w:p>
          <w:p w14:paraId="AA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фотографии ценников; </w:t>
            </w:r>
          </w:p>
          <w:p w14:paraId="AB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копии санитарных книжек продавцов с копиями трудовых договоров 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место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D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AF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0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2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место </w:t>
            </w:r>
          </w:p>
          <w:p w14:paraId="B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 т.д. </w:t>
            </w:r>
          </w:p>
        </w:tc>
        <w:tc>
          <w:tcPr>
            <w:tcW w:type="dxa" w:w="113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4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 </w:t>
            </w:r>
          </w:p>
        </w:tc>
      </w:tr>
      <w:tr>
        <w:tc>
          <w:tcPr>
            <w:tcW w:type="dxa" w:w="30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5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</w:p>
        </w:tc>
        <w:tc>
          <w:tcPr>
            <w:tcW w:type="dxa" w:w="269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6000000">
            <w:pPr>
              <w:spacing w:after="0" w:line="144" w:lineRule="atLeast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Санитарное состояние нестационарного торгового объекта в течение рабочего времени и по его окончании (далее </w:t>
            </w: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СС) </w:t>
            </w:r>
          </w:p>
        </w:tc>
        <w:tc>
          <w:tcPr>
            <w:tcW w:type="dxa" w:w="351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7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копия документа, </w:t>
            </w:r>
            <w:r>
              <w:rPr>
                <w:rFonts w:ascii="Times New Roman" w:hAnsi="Times New Roman"/>
                <w:color w:val="000000"/>
                <w:sz w:val="22"/>
              </w:rPr>
              <w:t>подтверждаю</w:t>
            </w:r>
            <w:r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щего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покупку малых контейнеров для сбора мусора; </w:t>
            </w:r>
          </w:p>
          <w:p w14:paraId="B8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договор с региональным оператором по обращению с твердыми коммунальными отходами; </w:t>
            </w:r>
          </w:p>
          <w:p w14:paraId="B9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график уборки прилегающей территории; </w:t>
            </w:r>
          </w:p>
          <w:p w14:paraId="BA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копию решения о назначении ответственного лица за уборку 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место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D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место </w:t>
            </w:r>
          </w:p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 т.д. </w:t>
            </w:r>
          </w:p>
        </w:tc>
        <w:tc>
          <w:tcPr>
            <w:tcW w:type="dxa" w:w="113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 </w:t>
            </w:r>
          </w:p>
        </w:tc>
      </w:tr>
      <w:tr>
        <w:tc>
          <w:tcPr>
            <w:tcW w:type="dxa" w:w="30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4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</w:p>
        </w:tc>
        <w:tc>
          <w:tcPr>
            <w:tcW w:type="dxa" w:w="269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5000000">
            <w:pPr>
              <w:spacing w:after="0" w:line="144" w:lineRule="atLeast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Квалификация Участников конкурсного отбора (далее </w:t>
            </w: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КУ) </w:t>
            </w:r>
          </w:p>
        </w:tc>
        <w:tc>
          <w:tcPr>
            <w:tcW w:type="dxa" w:w="351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6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>наличие сертификата соответствия технических сре</w:t>
            </w:r>
            <w:r>
              <w:rPr>
                <w:rFonts w:ascii="Times New Roman" w:hAnsi="Times New Roman"/>
                <w:color w:val="000000"/>
                <w:sz w:val="22"/>
              </w:rPr>
              <w:t>дств тр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ебованиям нормативных документов (поверка технических средств измерения (весов) с указанием их технических характеристик на планируемый период размещения нестационарного торгового объекта (свидетельство о поверке прибора); </w:t>
            </w:r>
          </w:p>
          <w:p w14:paraId="C7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опыт работы заявителя в сфере торговли (копии ОРГНИП, ИНН, копии благодарностей, наград, рекомендательных писем от общественных организаций, государственных, муниципальных органов, иных юридических лиц; </w:t>
            </w:r>
          </w:p>
          <w:p w14:paraId="C8000000">
            <w:pPr>
              <w:spacing w:after="0" w:line="144" w:lineRule="atLeast"/>
              <w:ind w:firstLine="116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 </w:t>
            </w:r>
            <w:r>
              <w:rPr>
                <w:rFonts w:ascii="Times New Roman" w:hAnsi="Times New Roman"/>
                <w:color w:val="000000"/>
                <w:sz w:val="22"/>
              </w:rPr>
              <w:t>копия листа записи Единого государственного реестра индивидуальных предпринимателей, подтверждающего наименование вида деятельности Участника: выращивание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место 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 место </w:t>
            </w:r>
          </w:p>
        </w:tc>
        <w:tc>
          <w:tcPr>
            <w:tcW w:type="dxa" w:w="1134"/>
            <w:tcBorders>
              <w:left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 </w:t>
            </w:r>
          </w:p>
        </w:tc>
      </w:tr>
      <w:tr>
        <w:tc>
          <w:tcPr>
            <w:tcW w:type="dxa" w:w="30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 место </w:t>
            </w:r>
          </w:p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 т.д. </w:t>
            </w:r>
          </w:p>
        </w:tc>
        <w:tc>
          <w:tcPr>
            <w:tcW w:type="dxa" w:w="113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0 </w:t>
            </w:r>
          </w:p>
        </w:tc>
      </w:tr>
    </w:tbl>
    <w:p w14:paraId="D2000000">
      <w:pPr>
        <w:pStyle w:val="Style_7"/>
        <w:ind w:firstLine="708" w:left="0"/>
        <w:jc w:val="both"/>
        <w:rPr>
          <w:rFonts w:ascii="Times New Roman" w:hAnsi="Times New Roman"/>
          <w:b w:val="1"/>
          <w:sz w:val="22"/>
          <w:u w:val="single"/>
        </w:rPr>
      </w:pPr>
    </w:p>
    <w:p w14:paraId="D3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Итоговый показатель критериев оценки и сопоставления заявок при определении победителей конкурсного отбора по каждому Участнику рассчитывается по следующей формуле:</w:t>
      </w:r>
    </w:p>
    <w:p w14:paraId="D4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ИП = </w:t>
      </w:r>
      <w:r>
        <w:rPr>
          <w:rFonts w:ascii="Times New Roman" w:hAnsi="Times New Roman"/>
          <w:color w:val="000000"/>
        </w:rPr>
        <w:t>ВВ</w:t>
      </w:r>
      <w:r>
        <w:rPr>
          <w:rFonts w:ascii="Times New Roman" w:hAnsi="Times New Roman"/>
          <w:color w:val="000000"/>
        </w:rPr>
        <w:t xml:space="preserve"> + УК + СС + КУ, </w:t>
      </w:r>
    </w:p>
    <w:p w14:paraId="D5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где ИП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итоговый показатель критериев оценки и сопоставления заявок на участие в конкурсном отборе по каждому Участнику конкурсного отбора; </w:t>
      </w:r>
    </w:p>
    <w:p w14:paraId="D6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внешний вид нестационарного торгового объекта; </w:t>
      </w:r>
    </w:p>
    <w:p w14:paraId="D7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УК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уровень культуры и качества обслуживания населения; </w:t>
      </w:r>
    </w:p>
    <w:p w14:paraId="D8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СС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санитарное состояние нестационарного торгового объекта; </w:t>
      </w:r>
    </w:p>
    <w:p w14:paraId="D9000000">
      <w:pPr>
        <w:spacing w:after="0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КУ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квалификация Участников Конкурсного отбора. </w:t>
      </w:r>
    </w:p>
    <w:p w14:paraId="DA000000">
      <w:pPr>
        <w:pStyle w:val="Style_7"/>
        <w:ind w:firstLine="708" w:left="0"/>
        <w:jc w:val="both"/>
        <w:rPr>
          <w:rFonts w:ascii="Times New Roman" w:hAnsi="Times New Roman"/>
          <w:b w:val="1"/>
          <w:sz w:val="22"/>
          <w:u w:val="single"/>
        </w:rPr>
      </w:pPr>
    </w:p>
    <w:p w14:paraId="DB000000">
      <w:pPr>
        <w:pStyle w:val="Style_7"/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u w:val="single"/>
        </w:rPr>
        <w:t>Примечание</w:t>
      </w:r>
      <w:r>
        <w:rPr>
          <w:rFonts w:ascii="Times New Roman" w:hAnsi="Times New Roman"/>
          <w:b w:val="1"/>
        </w:rPr>
        <w:t xml:space="preserve">&lt;*&gt; - в конкурсном отборе могут участвовать </w:t>
      </w:r>
      <w:r>
        <w:rPr>
          <w:rFonts w:ascii="Times New Roman" w:hAnsi="Times New Roman"/>
          <w:b w:val="1"/>
          <w:u w:val="single"/>
        </w:rPr>
        <w:t>только</w:t>
      </w:r>
      <w:r>
        <w:rPr>
          <w:rFonts w:ascii="Times New Roman" w:hAnsi="Times New Roman"/>
          <w:b w:val="1"/>
        </w:rPr>
        <w:t xml:space="preserve"> субъекты малого и среднего предпринимательства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 w:val="1"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данное требование распространяется в отношении лотов </w:t>
      </w:r>
      <w:r>
        <w:rPr>
          <w:rFonts w:ascii="Times New Roman" w:hAnsi="Times New Roman"/>
          <w:b w:val="1"/>
        </w:rPr>
        <w:t>№№ 1, 2, 3, 4, 5, 6, 7, 8, 9, 10, 11, 12, 13, 14, 15, 16, 17, 18, 19, 20, 21, 22, 23, 24, 25, 26, 27, 28, 29</w:t>
      </w:r>
      <w:r>
        <w:rPr>
          <w:rFonts w:ascii="Times New Roman" w:hAnsi="Times New Roman"/>
          <w:b w:val="1"/>
        </w:rPr>
        <w:t>)</w:t>
      </w:r>
      <w:r>
        <w:rPr>
          <w:rFonts w:ascii="Times New Roman" w:hAnsi="Times New Roman"/>
          <w:b w:val="1"/>
        </w:rPr>
        <w:t>.</w:t>
      </w:r>
    </w:p>
    <w:p w14:paraId="DC000000">
      <w:pPr>
        <w:spacing w:after="0"/>
        <w:ind/>
        <w:jc w:val="left"/>
        <w:rPr>
          <w:rFonts w:ascii="Times New Roman" w:hAnsi="Times New Roman"/>
          <w:b w:val="1"/>
        </w:rPr>
      </w:pPr>
    </w:p>
    <w:sectPr>
      <w:pgSz w:h="16838" w:orient="portrait" w:w="11906"/>
      <w:pgMar w:bottom="567" w:footer="709" w:gutter="0" w:header="709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60"/>
      <w:ind/>
      <w:jc w:val="both"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sz w:val="28"/>
    </w:rPr>
  </w:style>
  <w:style w:styleId="Style_10_ch" w:type="character">
    <w:name w:val="toc 2"/>
    <w:link w:val="Style_10"/>
    <w:rPr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sz w:val="28"/>
    </w:rPr>
  </w:style>
  <w:style w:styleId="Style_11_ch" w:type="character">
    <w:name w:val="toc 4"/>
    <w:link w:val="Style_11"/>
    <w:rPr>
      <w:sz w:val="28"/>
    </w:rPr>
  </w:style>
  <w:style w:styleId="Style_12" w:type="paragraph">
    <w:name w:val="heading 7"/>
    <w:basedOn w:val="Style_9"/>
    <w:next w:val="Style_9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9_ch"/>
    <w:link w:val="Style_12"/>
    <w:rPr>
      <w:rFonts w:ascii="Arial" w:hAnsi="Arial"/>
      <w:b w:val="1"/>
      <w:i w:val="1"/>
      <w:sz w:val="22"/>
    </w:rPr>
  </w:style>
  <w:style w:styleId="Style_13" w:type="paragraph">
    <w:name w:val="Intense Quote"/>
    <w:basedOn w:val="Style_9"/>
    <w:next w:val="Style_9"/>
    <w:link w:val="Style_13_ch"/>
    <w:pPr>
      <w:ind w:firstLine="0" w:left="720" w:right="720"/>
    </w:pPr>
    <w:rPr>
      <w:i w:val="1"/>
    </w:rPr>
  </w:style>
  <w:style w:styleId="Style_13_ch" w:type="character">
    <w:name w:val="Intense Quote"/>
    <w:basedOn w:val="Style_9_ch"/>
    <w:link w:val="Style_13"/>
    <w:rPr>
      <w:i w:val="1"/>
    </w:rPr>
  </w:style>
  <w:style w:styleId="Style_14" w:type="paragraph">
    <w:name w:val="toc 6"/>
    <w:next w:val="Style_9"/>
    <w:link w:val="Style_14_ch"/>
    <w:uiPriority w:val="39"/>
    <w:pPr>
      <w:ind w:firstLine="0" w:left="1000"/>
    </w:pPr>
    <w:rPr>
      <w:sz w:val="28"/>
    </w:rPr>
  </w:style>
  <w:style w:styleId="Style_14_ch" w:type="character">
    <w:name w:val="toc 6"/>
    <w:link w:val="Style_14"/>
    <w:rPr>
      <w:sz w:val="28"/>
    </w:rPr>
  </w:style>
  <w:style w:styleId="Style_15" w:type="paragraph">
    <w:name w:val="Heading 1 Char"/>
    <w:basedOn w:val="Style_16"/>
    <w:link w:val="Style_15_ch"/>
    <w:rPr>
      <w:rFonts w:ascii="Arial" w:hAnsi="Arial"/>
      <w:sz w:val="40"/>
    </w:rPr>
  </w:style>
  <w:style w:styleId="Style_15_ch" w:type="character">
    <w:name w:val="Heading 1 Char"/>
    <w:basedOn w:val="Style_16_ch"/>
    <w:link w:val="Style_15"/>
    <w:rPr>
      <w:rFonts w:ascii="Arial" w:hAnsi="Arial"/>
      <w:sz w:val="40"/>
    </w:rPr>
  </w:style>
  <w:style w:styleId="Style_17" w:type="paragraph">
    <w:name w:val="toc 7"/>
    <w:next w:val="Style_9"/>
    <w:link w:val="Style_17_ch"/>
    <w:uiPriority w:val="39"/>
    <w:pPr>
      <w:ind w:firstLine="0" w:left="1200"/>
    </w:pPr>
    <w:rPr>
      <w:sz w:val="28"/>
    </w:rPr>
  </w:style>
  <w:style w:styleId="Style_17_ch" w:type="character">
    <w:name w:val="toc 7"/>
    <w:link w:val="Style_17"/>
    <w:rPr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Footer"/>
    <w:basedOn w:val="Style_9"/>
    <w:link w:val="Style_20_ch"/>
    <w:pPr>
      <w:tabs>
        <w:tab w:leader="none" w:pos="7143" w:val="center"/>
        <w:tab w:leader="none" w:pos="14287" w:val="right"/>
      </w:tabs>
      <w:spacing w:after="0"/>
      <w:ind/>
    </w:pPr>
  </w:style>
  <w:style w:styleId="Style_20_ch" w:type="character">
    <w:name w:val="Footer"/>
    <w:basedOn w:val="Style_9_ch"/>
    <w:link w:val="Style_20"/>
  </w:style>
  <w:style w:styleId="Style_21" w:type="paragraph">
    <w:name w:val="Endnote"/>
    <w:basedOn w:val="Style_9"/>
    <w:link w:val="Style_21_ch"/>
    <w:pPr>
      <w:spacing w:after="0"/>
      <w:ind/>
    </w:pPr>
    <w:rPr>
      <w:sz w:val="20"/>
    </w:rPr>
  </w:style>
  <w:style w:styleId="Style_21_ch" w:type="character">
    <w:name w:val="Endnote"/>
    <w:basedOn w:val="Style_9_ch"/>
    <w:link w:val="Style_21"/>
    <w:rPr>
      <w:sz w:val="20"/>
    </w:rPr>
  </w:style>
  <w:style w:styleId="Style_22" w:type="paragraph">
    <w:name w:val="heading 3"/>
    <w:next w:val="Style_9"/>
    <w:link w:val="Style_22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22_ch" w:type="character">
    <w:name w:val="heading 3"/>
    <w:link w:val="Style_22"/>
    <w:rPr>
      <w:b w:val="1"/>
      <w:sz w:val="26"/>
    </w:rPr>
  </w:style>
  <w:style w:styleId="Style_23" w:type="paragraph">
    <w:name w:val="Subtitle Char"/>
    <w:basedOn w:val="Style_16"/>
    <w:link w:val="Style_23_ch"/>
  </w:style>
  <w:style w:styleId="Style_23_ch" w:type="character">
    <w:name w:val="Subtitle Char"/>
    <w:basedOn w:val="Style_16_ch"/>
    <w:link w:val="Style_23"/>
  </w:style>
  <w:style w:styleId="Style_24" w:type="paragraph">
    <w:name w:val="Footnote"/>
    <w:link w:val="Style_24_ch"/>
    <w:pPr>
      <w:ind w:firstLine="851" w:left="0"/>
      <w:jc w:val="both"/>
    </w:pPr>
    <w:rPr>
      <w:sz w:val="22"/>
    </w:rPr>
  </w:style>
  <w:style w:styleId="Style_24_ch" w:type="character">
    <w:name w:val="Footnote"/>
    <w:link w:val="Style_24"/>
    <w:rPr>
      <w:sz w:val="22"/>
    </w:rPr>
  </w:style>
  <w:style w:styleId="Style_25" w:type="paragraph">
    <w:name w:val="List Bullet 3"/>
    <w:basedOn w:val="Style_9"/>
    <w:link w:val="Style_25_ch"/>
  </w:style>
  <w:style w:styleId="Style_25_ch" w:type="character">
    <w:name w:val="List Bullet 3"/>
    <w:basedOn w:val="Style_9_ch"/>
    <w:link w:val="Style_25"/>
  </w:style>
  <w:style w:styleId="Style_26" w:type="paragraph">
    <w:name w:val="List Bullet"/>
    <w:basedOn w:val="Style_9"/>
    <w:link w:val="Style_26_ch"/>
    <w:pPr>
      <w:widowControl w:val="0"/>
      <w:ind/>
    </w:pPr>
    <w:rPr>
      <w:sz w:val="20"/>
    </w:rPr>
  </w:style>
  <w:style w:styleId="Style_26_ch" w:type="character">
    <w:name w:val="List Bullet"/>
    <w:basedOn w:val="Style_9_ch"/>
    <w:link w:val="Style_26"/>
    <w:rPr>
      <w:sz w:val="20"/>
    </w:rPr>
  </w:style>
  <w:style w:styleId="Style_3" w:type="paragraph">
    <w:name w:val="Словарная статья"/>
    <w:basedOn w:val="Style_9"/>
    <w:next w:val="Style_9"/>
    <w:link w:val="Style_3_ch"/>
    <w:pPr>
      <w:spacing w:after="0"/>
      <w:ind w:right="118"/>
    </w:pPr>
    <w:rPr>
      <w:rFonts w:ascii="Arial" w:hAnsi="Arial"/>
      <w:sz w:val="20"/>
    </w:rPr>
  </w:style>
  <w:style w:styleId="Style_3_ch" w:type="character">
    <w:name w:val="Словарная статья"/>
    <w:basedOn w:val="Style_9_ch"/>
    <w:link w:val="Style_3"/>
    <w:rPr>
      <w:rFonts w:ascii="Arial" w:hAnsi="Arial"/>
      <w:sz w:val="20"/>
    </w:rPr>
  </w:style>
  <w:style w:styleId="Style_27" w:type="paragraph">
    <w:name w:val="heading 9"/>
    <w:basedOn w:val="Style_9"/>
    <w:next w:val="Style_9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9_ch"/>
    <w:link w:val="Style_27"/>
    <w:rPr>
      <w:rFonts w:ascii="Arial" w:hAnsi="Arial"/>
      <w:i w:val="1"/>
      <w:sz w:val="21"/>
    </w:rPr>
  </w:style>
  <w:style w:styleId="Style_28" w:type="paragraph">
    <w:name w:val="Heading 3 Char"/>
    <w:basedOn w:val="Style_16"/>
    <w:link w:val="Style_28_ch"/>
    <w:rPr>
      <w:rFonts w:ascii="Arial" w:hAnsi="Arial"/>
      <w:sz w:val="30"/>
    </w:rPr>
  </w:style>
  <w:style w:styleId="Style_28_ch" w:type="character">
    <w:name w:val="Heading 3 Char"/>
    <w:basedOn w:val="Style_16_ch"/>
    <w:link w:val="Style_28"/>
    <w:rPr>
      <w:rFonts w:ascii="Arial" w:hAnsi="Arial"/>
      <w:sz w:val="30"/>
    </w:rPr>
  </w:style>
  <w:style w:styleId="Style_1" w:type="paragraph">
    <w:name w:val="Стиль1"/>
    <w:basedOn w:val="Style_9"/>
    <w:link w:val="Style_1_ch"/>
    <w:pPr>
      <w:keepNext w:val="1"/>
      <w:keepLines w:val="1"/>
      <w:widowControl w:val="0"/>
      <w:tabs>
        <w:tab w:leader="none" w:pos="760" w:val="left"/>
      </w:tabs>
      <w:ind w:hanging="360" w:left="760"/>
      <w:jc w:val="left"/>
    </w:pPr>
    <w:rPr>
      <w:b w:val="1"/>
      <w:sz w:val="28"/>
    </w:rPr>
  </w:style>
  <w:style w:styleId="Style_1_ch" w:type="character">
    <w:name w:val="Стиль1"/>
    <w:basedOn w:val="Style_9_ch"/>
    <w:link w:val="Style_1"/>
    <w:rPr>
      <w:b w:val="1"/>
      <w:sz w:val="28"/>
    </w:rPr>
  </w:style>
  <w:style w:styleId="Style_29" w:type="paragraph">
    <w:name w:val="toc 3"/>
    <w:next w:val="Style_9"/>
    <w:link w:val="Style_29_ch"/>
    <w:uiPriority w:val="39"/>
    <w:pPr>
      <w:ind w:firstLine="0" w:left="400"/>
    </w:pPr>
    <w:rPr>
      <w:sz w:val="28"/>
    </w:rPr>
  </w:style>
  <w:style w:styleId="Style_29_ch" w:type="character">
    <w:name w:val="toc 3"/>
    <w:link w:val="Style_29"/>
    <w:rPr>
      <w:sz w:val="28"/>
    </w:rPr>
  </w:style>
  <w:style w:styleId="Style_7" w:type="paragraph">
    <w:name w:val="Default"/>
    <w:link w:val="Style_7_ch"/>
  </w:style>
  <w:style w:styleId="Style_7_ch" w:type="character">
    <w:name w:val="Default"/>
    <w:link w:val="Style_7"/>
  </w:style>
  <w:style w:styleId="Style_30" w:type="paragraph">
    <w:name w:val="Body Text Indent 3"/>
    <w:basedOn w:val="Style_9"/>
    <w:link w:val="Style_30_ch"/>
    <w:pPr>
      <w:spacing w:after="120"/>
      <w:ind w:firstLine="0" w:left="283"/>
    </w:pPr>
    <w:rPr>
      <w:sz w:val="16"/>
    </w:rPr>
  </w:style>
  <w:style w:styleId="Style_30_ch" w:type="character">
    <w:name w:val="Body Text Indent 3"/>
    <w:basedOn w:val="Style_9_ch"/>
    <w:link w:val="Style_30"/>
    <w:rPr>
      <w:sz w:val="16"/>
    </w:rPr>
  </w:style>
  <w:style w:styleId="Style_31" w:type="paragraph">
    <w:name w:val="Quote"/>
    <w:basedOn w:val="Style_9"/>
    <w:next w:val="Style_9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9_ch"/>
    <w:link w:val="Style_31"/>
    <w:rPr>
      <w:i w:val="1"/>
    </w:rPr>
  </w:style>
  <w:style w:styleId="Style_32" w:type="paragraph">
    <w:name w:val="heading 5"/>
    <w:next w:val="Style_9"/>
    <w:link w:val="Style_3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32_ch" w:type="character">
    <w:name w:val="heading 5"/>
    <w:link w:val="Style_32"/>
    <w:rPr>
      <w:b w:val="1"/>
      <w:sz w:val="22"/>
    </w:rPr>
  </w:style>
  <w:style w:styleId="Style_33" w:type="paragraph">
    <w:name w:val="Footer Char"/>
    <w:basedOn w:val="Style_16"/>
    <w:link w:val="Style_33_ch"/>
  </w:style>
  <w:style w:styleId="Style_33_ch" w:type="character">
    <w:name w:val="Footer Char"/>
    <w:basedOn w:val="Style_16_ch"/>
    <w:link w:val="Style_3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ConsNormal"/>
    <w:link w:val="Style_35_ch"/>
    <w:pPr>
      <w:ind w:firstLine="720" w:left="0" w:right="19772"/>
    </w:pPr>
    <w:rPr>
      <w:rFonts w:ascii="Arial" w:hAnsi="Arial"/>
    </w:rPr>
  </w:style>
  <w:style w:styleId="Style_35_ch" w:type="character">
    <w:name w:val="ConsNormal"/>
    <w:link w:val="Style_35"/>
    <w:rPr>
      <w:rFonts w:ascii="Arial" w:hAnsi="Arial"/>
    </w:rPr>
  </w:style>
  <w:style w:styleId="Style_36" w:type="paragraph">
    <w:name w:val="heading 1"/>
    <w:next w:val="Style_9"/>
    <w:link w:val="Style_36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36_ch" w:type="character">
    <w:name w:val="heading 1"/>
    <w:link w:val="Style_36"/>
    <w:rPr>
      <w:b w:val="1"/>
      <w:sz w:val="32"/>
    </w:rPr>
  </w:style>
  <w:style w:styleId="Style_37" w:type="paragraph">
    <w:name w:val="111"/>
    <w:basedOn w:val="Style_9"/>
    <w:link w:val="Style_37_ch"/>
    <w:pPr>
      <w:spacing w:after="0"/>
      <w:ind/>
      <w:jc w:val="left"/>
    </w:pPr>
    <w:rPr>
      <w:sz w:val="20"/>
    </w:rPr>
  </w:style>
  <w:style w:styleId="Style_37_ch" w:type="character">
    <w:name w:val="111"/>
    <w:basedOn w:val="Style_9_ch"/>
    <w:link w:val="Style_37"/>
    <w:rPr>
      <w:sz w:val="20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9"/>
    <w:link w:val="Style_40_ch"/>
    <w:pPr>
      <w:spacing w:after="40"/>
      <w:ind/>
    </w:pPr>
    <w:rPr>
      <w:sz w:val="18"/>
    </w:rPr>
  </w:style>
  <w:style w:styleId="Style_40_ch" w:type="character">
    <w:name w:val="Footnote"/>
    <w:basedOn w:val="Style_9_ch"/>
    <w:link w:val="Style_40"/>
    <w:rPr>
      <w:sz w:val="18"/>
    </w:rPr>
  </w:style>
  <w:style w:styleId="Style_41" w:type="paragraph">
    <w:name w:val="heading 8"/>
    <w:basedOn w:val="Style_9"/>
    <w:next w:val="Style_9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9_ch"/>
    <w:link w:val="Style_41"/>
    <w:rPr>
      <w:rFonts w:ascii="Arial" w:hAnsi="Arial"/>
      <w:i w:val="1"/>
      <w:sz w:val="22"/>
    </w:rPr>
  </w:style>
  <w:style w:styleId="Style_42" w:type="paragraph">
    <w:name w:val="Знак концевой сноски1"/>
    <w:basedOn w:val="Style_16"/>
    <w:link w:val="Style_42_ch"/>
    <w:rPr>
      <w:vertAlign w:val="superscript"/>
    </w:rPr>
  </w:style>
  <w:style w:styleId="Style_42_ch" w:type="character">
    <w:name w:val="Знак концевой сноски1"/>
    <w:basedOn w:val="Style_16_ch"/>
    <w:link w:val="Style_42"/>
    <w:rPr>
      <w:vertAlign w:val="superscript"/>
    </w:rPr>
  </w:style>
  <w:style w:styleId="Style_43" w:type="paragraph">
    <w:name w:val="toc 1"/>
    <w:next w:val="Style_9"/>
    <w:link w:val="Style_43_ch"/>
    <w:uiPriority w:val="39"/>
    <w:rPr>
      <w:b w:val="1"/>
      <w:sz w:val="28"/>
    </w:rPr>
  </w:style>
  <w:style w:styleId="Style_43_ch" w:type="character">
    <w:name w:val="toc 1"/>
    <w:link w:val="Style_43"/>
    <w:rPr>
      <w:b w:val="1"/>
      <w:sz w:val="28"/>
    </w:rPr>
  </w:style>
  <w:style w:styleId="Style_44" w:type="paragraph">
    <w:name w:val="Header and Footer"/>
    <w:link w:val="Style_44_ch"/>
    <w:pPr>
      <w:ind/>
      <w:jc w:val="both"/>
    </w:pPr>
  </w:style>
  <w:style w:styleId="Style_44_ch" w:type="character">
    <w:name w:val="Header and Footer"/>
    <w:link w:val="Style_44"/>
  </w:style>
  <w:style w:styleId="Style_45" w:type="paragraph">
    <w:name w:val="Heading 4 Char"/>
    <w:basedOn w:val="Style_16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16_ch"/>
    <w:link w:val="Style_45"/>
    <w:rPr>
      <w:rFonts w:ascii="Arial" w:hAnsi="Arial"/>
      <w:b w:val="1"/>
      <w:sz w:val="26"/>
    </w:rPr>
  </w:style>
  <w:style w:styleId="Style_46" w:type="paragraph">
    <w:name w:val="List Paragraph"/>
    <w:basedOn w:val="Style_9"/>
    <w:link w:val="Style_46_ch"/>
    <w:pPr>
      <w:spacing w:after="0"/>
      <w:ind w:firstLine="0" w:left="720"/>
      <w:contextualSpacing w:val="1"/>
      <w:jc w:val="left"/>
    </w:pPr>
  </w:style>
  <w:style w:styleId="Style_46_ch" w:type="character">
    <w:name w:val="List Paragraph"/>
    <w:basedOn w:val="Style_9_ch"/>
    <w:link w:val="Style_46"/>
  </w:style>
  <w:style w:styleId="Style_47" w:type="paragraph">
    <w:name w:val="toc 9"/>
    <w:next w:val="Style_9"/>
    <w:link w:val="Style_47_ch"/>
    <w:uiPriority w:val="39"/>
    <w:pPr>
      <w:ind w:firstLine="0" w:left="1600"/>
    </w:pPr>
    <w:rPr>
      <w:sz w:val="28"/>
    </w:rPr>
  </w:style>
  <w:style w:styleId="Style_47_ch" w:type="character">
    <w:name w:val="toc 9"/>
    <w:link w:val="Style_47"/>
    <w:rPr>
      <w:sz w:val="28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Heading 5 Char"/>
    <w:basedOn w:val="Style_16"/>
    <w:link w:val="Style_49_ch"/>
    <w:rPr>
      <w:rFonts w:ascii="Arial" w:hAnsi="Arial"/>
      <w:b w:val="1"/>
    </w:rPr>
  </w:style>
  <w:style w:styleId="Style_49_ch" w:type="character">
    <w:name w:val="Heading 5 Char"/>
    <w:basedOn w:val="Style_16_ch"/>
    <w:link w:val="Style_49"/>
    <w:rPr>
      <w:rFonts w:ascii="Arial" w:hAnsi="Arial"/>
      <w:b w:val="1"/>
    </w:rPr>
  </w:style>
  <w:style w:styleId="Style_50" w:type="paragraph">
    <w:name w:val="toc 8"/>
    <w:next w:val="Style_9"/>
    <w:link w:val="Style_50_ch"/>
    <w:uiPriority w:val="39"/>
    <w:pPr>
      <w:ind w:firstLine="0" w:left="1400"/>
    </w:pPr>
    <w:rPr>
      <w:sz w:val="28"/>
    </w:rPr>
  </w:style>
  <w:style w:styleId="Style_50_ch" w:type="character">
    <w:name w:val="toc 8"/>
    <w:link w:val="Style_50"/>
    <w:rPr>
      <w:sz w:val="28"/>
    </w:rPr>
  </w:style>
  <w:style w:styleId="Style_51" w:type="paragraph">
    <w:name w:val="Title Char"/>
    <w:basedOn w:val="Style_16"/>
    <w:link w:val="Style_51_ch"/>
    <w:rPr>
      <w:sz w:val="48"/>
    </w:rPr>
  </w:style>
  <w:style w:styleId="Style_51_ch" w:type="character">
    <w:name w:val="Title Char"/>
    <w:basedOn w:val="Style_16_ch"/>
    <w:link w:val="Style_51"/>
    <w:rPr>
      <w:sz w:val="48"/>
    </w:rPr>
  </w:style>
  <w:style w:styleId="Style_52" w:type="paragraph">
    <w:name w:val="No Spacing"/>
    <w:link w:val="Style_52_ch"/>
  </w:style>
  <w:style w:styleId="Style_52_ch" w:type="character">
    <w:name w:val="No Spacing"/>
    <w:link w:val="Style_52"/>
  </w:style>
  <w:style w:styleId="Style_53" w:type="paragraph">
    <w:name w:val="table of figures"/>
    <w:basedOn w:val="Style_9"/>
    <w:next w:val="Style_9"/>
    <w:link w:val="Style_53_ch"/>
    <w:pPr>
      <w:spacing w:after="0"/>
      <w:ind/>
    </w:pPr>
  </w:style>
  <w:style w:styleId="Style_53_ch" w:type="character">
    <w:name w:val="table of figures"/>
    <w:basedOn w:val="Style_9_ch"/>
    <w:link w:val="Style_53"/>
  </w:style>
  <w:style w:styleId="Style_54" w:type="paragraph">
    <w:name w:val="toc 5"/>
    <w:next w:val="Style_9"/>
    <w:link w:val="Style_54_ch"/>
    <w:uiPriority w:val="39"/>
    <w:pPr>
      <w:ind w:firstLine="0" w:left="800"/>
    </w:pPr>
    <w:rPr>
      <w:sz w:val="28"/>
    </w:rPr>
  </w:style>
  <w:style w:styleId="Style_54_ch" w:type="character">
    <w:name w:val="toc 5"/>
    <w:link w:val="Style_54"/>
    <w:rPr>
      <w:sz w:val="28"/>
    </w:rPr>
  </w:style>
  <w:style w:styleId="Style_8" w:type="paragraph">
    <w:name w:val="Стиль3"/>
    <w:basedOn w:val="Style_5"/>
    <w:link w:val="Style_8_ch"/>
    <w:pPr>
      <w:widowControl w:val="0"/>
      <w:tabs>
        <w:tab w:leader="none" w:pos="360" w:val="left"/>
        <w:tab w:leader="none" w:pos="2200" w:val="left"/>
      </w:tabs>
      <w:spacing w:after="0" w:line="240" w:lineRule="auto"/>
      <w:ind w:hanging="180" w:left="180"/>
    </w:pPr>
  </w:style>
  <w:style w:styleId="Style_8_ch" w:type="character">
    <w:name w:val="Стиль3"/>
    <w:basedOn w:val="Style_5_ch"/>
    <w:link w:val="Style_8"/>
  </w:style>
  <w:style w:styleId="Style_5" w:type="paragraph">
    <w:name w:val="Body Text Indent 2"/>
    <w:basedOn w:val="Style_9"/>
    <w:link w:val="Style_5_ch"/>
    <w:pPr>
      <w:spacing w:after="120" w:line="480" w:lineRule="auto"/>
      <w:ind w:firstLine="0" w:left="283"/>
    </w:pPr>
    <w:rPr>
      <w:rFonts w:ascii="Arial" w:hAnsi="Arial"/>
    </w:rPr>
  </w:style>
  <w:style w:styleId="Style_5_ch" w:type="character">
    <w:name w:val="Body Text Indent 2"/>
    <w:basedOn w:val="Style_9_ch"/>
    <w:link w:val="Style_5"/>
    <w:rPr>
      <w:rFonts w:ascii="Arial" w:hAnsi="Arial"/>
    </w:rPr>
  </w:style>
  <w:style w:styleId="Style_55" w:type="paragraph">
    <w:name w:val="Тендерные данные"/>
    <w:basedOn w:val="Style_9"/>
    <w:link w:val="Style_55_ch"/>
    <w:pPr>
      <w:tabs>
        <w:tab w:leader="none" w:pos="1985" w:val="left"/>
      </w:tabs>
      <w:spacing w:before="120"/>
      <w:ind/>
    </w:pPr>
    <w:rPr>
      <w:b w:val="1"/>
    </w:rPr>
  </w:style>
  <w:style w:styleId="Style_55_ch" w:type="character">
    <w:name w:val="Тендерные данные"/>
    <w:basedOn w:val="Style_9_ch"/>
    <w:link w:val="Style_55"/>
    <w:rPr>
      <w:b w:val="1"/>
    </w:rPr>
  </w:style>
  <w:style w:styleId="Style_56" w:type="paragraph">
    <w:name w:val="Знак Знак Знак1 Знак Знак Знак Знак"/>
    <w:basedOn w:val="Style_9"/>
    <w:link w:val="Style_56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56_ch" w:type="character">
    <w:name w:val="Знак Знак Знак1 Знак Знак Знак Знак"/>
    <w:basedOn w:val="Style_9_ch"/>
    <w:link w:val="Style_56"/>
    <w:rPr>
      <w:rFonts w:ascii="Tahoma" w:hAnsi="Tahoma"/>
      <w:sz w:val="20"/>
    </w:rPr>
  </w:style>
  <w:style w:styleId="Style_57" w:type="paragraph">
    <w:name w:val="Caption"/>
    <w:basedOn w:val="Style_9"/>
    <w:next w:val="Style_9"/>
    <w:link w:val="Style_57_ch"/>
    <w:pPr>
      <w:spacing w:line="276" w:lineRule="auto"/>
      <w:ind/>
    </w:pPr>
    <w:rPr>
      <w:b w:val="1"/>
      <w:color w:themeColor="accent1" w:val="4F81BD"/>
      <w:sz w:val="18"/>
    </w:rPr>
  </w:style>
  <w:style w:styleId="Style_57_ch" w:type="character">
    <w:name w:val="Caption"/>
    <w:basedOn w:val="Style_9_ch"/>
    <w:link w:val="Style_57"/>
    <w:rPr>
      <w:b w:val="1"/>
      <w:color w:themeColor="accent1" w:val="4F81BD"/>
      <w:sz w:val="18"/>
    </w:rPr>
  </w:style>
  <w:style w:styleId="Style_58" w:type="paragraph">
    <w:name w:val="Subtitle"/>
    <w:next w:val="Style_9"/>
    <w:link w:val="Style_58_ch"/>
    <w:uiPriority w:val="11"/>
    <w:qFormat/>
    <w:pPr>
      <w:ind/>
      <w:jc w:val="both"/>
    </w:pPr>
    <w:rPr>
      <w:i w:val="1"/>
    </w:rPr>
  </w:style>
  <w:style w:styleId="Style_58_ch" w:type="character">
    <w:name w:val="Subtitle"/>
    <w:link w:val="Style_58"/>
    <w:rPr>
      <w:i w:val="1"/>
    </w:rPr>
  </w:style>
  <w:style w:styleId="Style_59" w:type="paragraph">
    <w:name w:val="Header"/>
    <w:basedOn w:val="Style_9"/>
    <w:link w:val="Style_59_ch"/>
    <w:pPr>
      <w:tabs>
        <w:tab w:leader="none" w:pos="7143" w:val="center"/>
        <w:tab w:leader="none" w:pos="14287" w:val="right"/>
      </w:tabs>
      <w:spacing w:after="0"/>
      <w:ind/>
    </w:pPr>
  </w:style>
  <w:style w:styleId="Style_59_ch" w:type="character">
    <w:name w:val="Header"/>
    <w:basedOn w:val="Style_9_ch"/>
    <w:link w:val="Style_59"/>
  </w:style>
  <w:style w:styleId="Style_60" w:type="paragraph">
    <w:name w:val="Title"/>
    <w:next w:val="Style_9"/>
    <w:link w:val="Style_60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60_ch" w:type="character">
    <w:name w:val="Title"/>
    <w:link w:val="Style_60"/>
    <w:rPr>
      <w:b w:val="1"/>
      <w:caps w:val="1"/>
      <w:sz w:val="40"/>
    </w:rPr>
  </w:style>
  <w:style w:styleId="Style_61" w:type="paragraph">
    <w:name w:val="heading 4"/>
    <w:next w:val="Style_9"/>
    <w:link w:val="Style_61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61_ch" w:type="character">
    <w:name w:val="heading 4"/>
    <w:link w:val="Style_61"/>
    <w:rPr>
      <w:b w:val="1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62" w:type="paragraph">
    <w:name w:val="Heading 2 Char"/>
    <w:basedOn w:val="Style_16"/>
    <w:link w:val="Style_62_ch"/>
    <w:rPr>
      <w:rFonts w:ascii="Arial" w:hAnsi="Arial"/>
      <w:sz w:val="34"/>
    </w:rPr>
  </w:style>
  <w:style w:styleId="Style_62_ch" w:type="character">
    <w:name w:val="Heading 2 Char"/>
    <w:basedOn w:val="Style_16_ch"/>
    <w:link w:val="Style_62"/>
    <w:rPr>
      <w:rFonts w:ascii="Arial" w:hAnsi="Arial"/>
      <w:sz w:val="34"/>
    </w:rPr>
  </w:style>
  <w:style w:styleId="Style_63" w:type="paragraph">
    <w:name w:val="heading 2"/>
    <w:next w:val="Style_9"/>
    <w:link w:val="Style_6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63_ch" w:type="character">
    <w:name w:val="heading 2"/>
    <w:link w:val="Style_63"/>
    <w:rPr>
      <w:b w:val="1"/>
      <w:sz w:val="28"/>
    </w:rPr>
  </w:style>
  <w:style w:styleId="Style_64" w:type="paragraph">
    <w:name w:val="Знак сноски1"/>
    <w:basedOn w:val="Style_16"/>
    <w:link w:val="Style_64_ch"/>
    <w:rPr>
      <w:vertAlign w:val="superscript"/>
    </w:rPr>
  </w:style>
  <w:style w:styleId="Style_64_ch" w:type="character">
    <w:name w:val="Знак сноски1"/>
    <w:basedOn w:val="Style_16_ch"/>
    <w:link w:val="Style_64"/>
    <w:rPr>
      <w:vertAlign w:val="superscript"/>
    </w:rPr>
  </w:style>
  <w:style w:styleId="Style_65" w:type="paragraph">
    <w:name w:val="Normal (Web)"/>
    <w:basedOn w:val="Style_9"/>
    <w:link w:val="Style_65_ch"/>
  </w:style>
  <w:style w:styleId="Style_65_ch" w:type="character">
    <w:name w:val="Normal (Web)"/>
    <w:basedOn w:val="Style_9_ch"/>
    <w:link w:val="Style_65"/>
  </w:style>
  <w:style w:styleId="Style_66" w:type="paragraph">
    <w:name w:val="heading 6"/>
    <w:basedOn w:val="Style_9"/>
    <w:next w:val="Style_9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6_ch" w:type="character">
    <w:name w:val="heading 6"/>
    <w:basedOn w:val="Style_9_ch"/>
    <w:link w:val="Style_66"/>
    <w:rPr>
      <w:rFonts w:ascii="Arial" w:hAnsi="Arial"/>
      <w:b w:val="1"/>
      <w:sz w:val="22"/>
    </w:rPr>
  </w:style>
  <w:style w:styleId="Style_67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6 Colorful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4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ned - Accent 4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Plain Table 2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4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1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ned - Accent 2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5 Dark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4"/>
    <w:basedOn w:val="Style_2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3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 3"/>
    <w:basedOn w:val="Style_2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1"/>
    <w:basedOn w:val="Style_2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Plain Table 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2"/>
    <w:basedOn w:val="Style_2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1 Light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5"/>
    <w:basedOn w:val="Style_2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6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1 Light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5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Plain Table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&amp; Lined - Accent 6"/>
    <w:basedOn w:val="Style_2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7 Colorful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5 Dark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6 Colorful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Bordered &amp; Lined - Accent"/>
    <w:basedOn w:val="Style_2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2024-06-11T08:23:09Z</dcterms:modified>
</cp:coreProperties>
</file>