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32"/>
        </w:rPr>
      </w:pPr>
    </w:p>
    <w:p w14:paraId="04000000">
      <w:pPr>
        <w:ind/>
        <w:jc w:val="center"/>
        <w:rPr>
          <w:sz w:val="32"/>
        </w:rPr>
      </w:pPr>
      <w:r>
        <w:rPr>
          <w:sz w:val="32"/>
        </w:rPr>
        <w:t>СТАВРОПОЛЬСКАЯ ГОРОДСКАЯ ДУМА</w:t>
      </w:r>
    </w:p>
    <w:p w14:paraId="05000000">
      <w:pPr>
        <w:rPr>
          <w:sz w:val="32"/>
        </w:rPr>
      </w:pPr>
    </w:p>
    <w:p w14:paraId="06000000">
      <w:pPr>
        <w:keepNext w:val="1"/>
        <w:keepLines w:val="1"/>
        <w:ind/>
        <w:jc w:val="center"/>
        <w:outlineLvl w:val="1"/>
        <w:rPr>
          <w:b w:val="1"/>
          <w:sz w:val="32"/>
        </w:rPr>
      </w:pPr>
      <w:r>
        <w:rPr>
          <w:sz w:val="32"/>
        </w:rPr>
        <w:t>Р Е Ш Е Н И Е</w:t>
      </w:r>
    </w:p>
    <w:p w14:paraId="07000000">
      <w:pPr>
        <w:ind/>
        <w:jc w:val="both"/>
        <w:rPr>
          <w:color w:val="000000"/>
          <w:sz w:val="22"/>
        </w:rPr>
      </w:pPr>
    </w:p>
    <w:p w14:paraId="08000000">
      <w:pPr>
        <w:ind/>
        <w:jc w:val="both"/>
        <w:rPr>
          <w:sz w:val="22"/>
        </w:rPr>
      </w:pPr>
    </w:p>
    <w:p w14:paraId="09000000">
      <w:pPr>
        <w:ind/>
        <w:jc w:val="both"/>
        <w:rPr>
          <w:sz w:val="22"/>
        </w:rPr>
      </w:pPr>
    </w:p>
    <w:p w14:paraId="0A000000">
      <w:pPr>
        <w:ind/>
        <w:jc w:val="both"/>
        <w:rPr>
          <w:sz w:val="28"/>
        </w:rPr>
      </w:pPr>
      <w:bookmarkStart w:id="1" w:name="_GoBack"/>
      <w:bookmarkEnd w:id="1"/>
      <w:r>
        <w:rPr>
          <w:sz w:val="28"/>
        </w:rPr>
        <w:t>29</w:t>
      </w:r>
      <w:r>
        <w:rPr>
          <w:sz w:val="28"/>
        </w:rPr>
        <w:t xml:space="preserve"> </w:t>
      </w:r>
      <w:r>
        <w:rPr>
          <w:sz w:val="28"/>
        </w:rPr>
        <w:t>ноя</w:t>
      </w:r>
      <w:r>
        <w:rPr>
          <w:sz w:val="28"/>
        </w:rPr>
        <w:t xml:space="preserve">бря 2023 г.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г. Ставрополь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№ </w:t>
      </w:r>
      <w:r>
        <w:rPr>
          <w:sz w:val="28"/>
        </w:rPr>
        <w:t>232</w:t>
      </w:r>
    </w:p>
    <w:p w14:paraId="0B000000">
      <w:pPr>
        <w:spacing w:line="240" w:lineRule="exact"/>
        <w:ind/>
        <w:jc w:val="both"/>
        <w:rPr>
          <w:sz w:val="28"/>
        </w:rPr>
      </w:pPr>
    </w:p>
    <w:p w14:paraId="0C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 Прогнозном плане</w:t>
      </w:r>
      <w:r>
        <w:rPr>
          <w:sz w:val="28"/>
        </w:rPr>
        <w:t xml:space="preserve"> </w:t>
      </w:r>
      <w:r>
        <w:rPr>
          <w:sz w:val="28"/>
        </w:rPr>
        <w:t>приватизации</w:t>
      </w:r>
    </w:p>
    <w:p w14:paraId="0D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муниципального имущества</w:t>
      </w:r>
    </w:p>
    <w:p w14:paraId="0E000000">
      <w:pPr>
        <w:spacing w:line="240" w:lineRule="exact"/>
        <w:ind/>
        <w:jc w:val="both"/>
      </w:pPr>
      <w:r>
        <w:rPr>
          <w:sz w:val="28"/>
        </w:rPr>
        <w:t>города Ставрополя на 2024‒2025 годы</w:t>
      </w:r>
    </w:p>
    <w:p w14:paraId="0F000000">
      <w:pPr>
        <w:ind/>
        <w:jc w:val="both"/>
        <w:rPr>
          <w:sz w:val="32"/>
        </w:rPr>
      </w:pPr>
    </w:p>
    <w:p w14:paraId="10000000">
      <w:pPr>
        <w:ind w:firstLine="708" w:left="0"/>
        <w:jc w:val="both"/>
      </w:pPr>
      <w:r>
        <w:rPr>
          <w:sz w:val="28"/>
        </w:rPr>
        <w:t xml:space="preserve">В соответствии с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"consultantplus://offline/ref=E5F646189889CDA6A6388767A9B3609EF2892AC889FF5FB7D3586E29FD1D044934318F643ECAAB734B3BA8647Fp117I"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21 декабря 2001 года                № 178-ФЗ «О приватизации государственного и муниципального имущества»,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"consultantplus://offline/ref=E5F646189889CDA6A638996ABFDF3E94F68174CD88F252E78C08687EA24D021C6671D13D7C8EB8724225A264751C03EBB551719E498C586F120C3C72p11BI"</w:instrText>
      </w:r>
      <w:r>
        <w:rPr>
          <w:sz w:val="28"/>
        </w:rPr>
        <w:fldChar w:fldCharType="separate"/>
      </w:r>
      <w:r>
        <w:rPr>
          <w:sz w:val="28"/>
        </w:rPr>
        <w:t>статьей 71</w:t>
      </w:r>
      <w:r>
        <w:rPr>
          <w:sz w:val="28"/>
        </w:rPr>
        <w:fldChar w:fldCharType="end"/>
      </w:r>
      <w:r>
        <w:rPr>
          <w:sz w:val="28"/>
        </w:rPr>
        <w:t xml:space="preserve"> Устава муниципального образования города Ставрополя Ставропольского края,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"consultantplus://offline/ref=E5F646189889CDA6A638996ABFDF3E94F68174CD88F451E78B0E687EA24D021C6671D13D6E8EE07E4325B464740955BAF3p014I"</w:instrText>
      </w:r>
      <w:r>
        <w:rPr>
          <w:sz w:val="28"/>
        </w:rPr>
        <w:fldChar w:fldCharType="separate"/>
      </w:r>
      <w:r>
        <w:rPr>
          <w:sz w:val="28"/>
        </w:rPr>
        <w:t>решением</w:t>
      </w:r>
      <w:r>
        <w:rPr>
          <w:sz w:val="28"/>
        </w:rPr>
        <w:fldChar w:fldCharType="end"/>
      </w:r>
      <w:r>
        <w:rPr>
          <w:sz w:val="28"/>
        </w:rPr>
        <w:t xml:space="preserve"> Ставропольской городской Думы от 27 ноября 2013 г. № 428 «Об утверждении Положения о приватизации муниципального имущества города Ставрополя» Ставропольская городская Дума</w:t>
      </w:r>
    </w:p>
    <w:p w14:paraId="11000000">
      <w:pPr>
        <w:ind w:firstLine="720" w:left="0"/>
        <w:jc w:val="both"/>
      </w:pPr>
    </w:p>
    <w:p w14:paraId="12000000">
      <w:pPr>
        <w:ind/>
        <w:jc w:val="both"/>
      </w:pPr>
      <w:r>
        <w:rPr>
          <w:sz w:val="28"/>
        </w:rPr>
        <w:t>РЕШИЛА:</w:t>
      </w:r>
    </w:p>
    <w:p w14:paraId="13000000">
      <w:pPr>
        <w:ind w:firstLine="709" w:left="0"/>
        <w:jc w:val="both"/>
      </w:pPr>
    </w:p>
    <w:p w14:paraId="14000000">
      <w:pPr>
        <w:pStyle w:val="Style_2"/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1. </w:t>
      </w:r>
      <w:r>
        <w:rPr>
          <w:sz w:val="28"/>
        </w:rPr>
        <w:t>Утвердить прилагаемый Прогнозный план приватизации муниципального имущества города Ставрополя на 2024‒2025 годы</w:t>
      </w:r>
      <w:r>
        <w:rPr>
          <w:sz w:val="28"/>
        </w:rPr>
        <w:t>.</w:t>
      </w:r>
    </w:p>
    <w:p w14:paraId="15000000">
      <w:pPr>
        <w:pStyle w:val="Style_2"/>
        <w:tabs>
          <w:tab w:leader="none" w:pos="993" w:val="left"/>
        </w:tabs>
        <w:ind w:firstLine="709" w:left="0"/>
        <w:jc w:val="both"/>
        <w:rPr>
          <w:sz w:val="28"/>
        </w:rPr>
      </w:pPr>
    </w:p>
    <w:p w14:paraId="16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 </w:t>
      </w:r>
      <w:r>
        <w:rPr>
          <w:sz w:val="28"/>
        </w:rPr>
        <w:t>Признать утратившими силу следующие решения Ставропольской городской Думы:</w:t>
      </w:r>
    </w:p>
    <w:p w14:paraId="17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от 24 ноября 2021</w:t>
      </w:r>
      <w:r>
        <w:rPr>
          <w:sz w:val="28"/>
        </w:rPr>
        <w:t> </w:t>
      </w:r>
      <w:r>
        <w:rPr>
          <w:sz w:val="28"/>
        </w:rPr>
        <w:t>г. №</w:t>
      </w:r>
      <w:r>
        <w:rPr>
          <w:sz w:val="28"/>
        </w:rPr>
        <w:t> </w:t>
      </w:r>
      <w:r>
        <w:rPr>
          <w:sz w:val="28"/>
        </w:rPr>
        <w:t>24 «О Прогнозном плане (программе) приватизации муниципального имущества города Ставрополя на 2022 год и плановый период 2023 и 2024 годов»;</w:t>
      </w:r>
    </w:p>
    <w:p w14:paraId="18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от 25 февраля 2022</w:t>
      </w:r>
      <w:r>
        <w:rPr>
          <w:sz w:val="28"/>
        </w:rPr>
        <w:t> </w:t>
      </w:r>
      <w:r>
        <w:rPr>
          <w:sz w:val="28"/>
        </w:rPr>
        <w:t>г. №</w:t>
      </w:r>
      <w:r>
        <w:rPr>
          <w:sz w:val="28"/>
        </w:rPr>
        <w:t> </w:t>
      </w:r>
      <w:r>
        <w:rPr>
          <w:sz w:val="28"/>
        </w:rPr>
        <w:t>50 «О внесении изменения в раздел II Прогнозного плана (программы) приватизации муниципального имущества города Ставрополя на 2022 год и плановый период 2023 и 2024 годов»;</w:t>
      </w:r>
    </w:p>
    <w:p w14:paraId="19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от 30 ноября 2022</w:t>
      </w:r>
      <w:r>
        <w:rPr>
          <w:sz w:val="28"/>
        </w:rPr>
        <w:t> </w:t>
      </w:r>
      <w:r>
        <w:rPr>
          <w:sz w:val="28"/>
        </w:rPr>
        <w:t>г. №</w:t>
      </w:r>
      <w:r>
        <w:rPr>
          <w:sz w:val="28"/>
        </w:rPr>
        <w:t> </w:t>
      </w:r>
      <w:r>
        <w:rPr>
          <w:sz w:val="28"/>
        </w:rPr>
        <w:t>128 «О внесении изменений в раздел II Прогнозного плана (программы) приватизации муниципального имущества города Ставрополя на 2022 год и плановый период 2023 и 2024 годов»;</w:t>
      </w:r>
    </w:p>
    <w:p w14:paraId="1A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от 30 ноября 2022</w:t>
      </w:r>
      <w:r>
        <w:rPr>
          <w:sz w:val="28"/>
        </w:rPr>
        <w:t> </w:t>
      </w:r>
      <w:r>
        <w:rPr>
          <w:sz w:val="28"/>
        </w:rPr>
        <w:t>г. №</w:t>
      </w:r>
      <w:r>
        <w:rPr>
          <w:sz w:val="28"/>
        </w:rPr>
        <w:t> </w:t>
      </w:r>
      <w:r>
        <w:rPr>
          <w:sz w:val="28"/>
        </w:rPr>
        <w:t>129 «О Прогнозном плане (программе) приватизации муниципального имущества города Ставрополя на 2023 год и плановый период 2024 и 2025 годов»;</w:t>
      </w:r>
    </w:p>
    <w:p w14:paraId="1B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от 24 мая 2023</w:t>
      </w:r>
      <w:r>
        <w:rPr>
          <w:sz w:val="28"/>
        </w:rPr>
        <w:t> </w:t>
      </w:r>
      <w:r>
        <w:rPr>
          <w:sz w:val="28"/>
        </w:rPr>
        <w:t>г. №</w:t>
      </w:r>
      <w:r>
        <w:rPr>
          <w:sz w:val="28"/>
        </w:rPr>
        <w:t> </w:t>
      </w:r>
      <w:r>
        <w:rPr>
          <w:sz w:val="28"/>
        </w:rPr>
        <w:t>188 «О внесении изменений в Прогнозный план (программу) приватизации муниципального имущества города Ставрополя на 2023 год и плановый период 2024 и 2025 годов»;</w:t>
      </w:r>
    </w:p>
    <w:p w14:paraId="1C000000">
      <w:pPr>
        <w:pStyle w:val="Style_2"/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от 18 октября 2023</w:t>
      </w:r>
      <w:r>
        <w:rPr>
          <w:sz w:val="28"/>
        </w:rPr>
        <w:t> </w:t>
      </w:r>
      <w:r>
        <w:rPr>
          <w:sz w:val="28"/>
        </w:rPr>
        <w:t>г. №</w:t>
      </w:r>
      <w:r>
        <w:rPr>
          <w:sz w:val="28"/>
        </w:rPr>
        <w:t> </w:t>
      </w:r>
      <w:r>
        <w:rPr>
          <w:sz w:val="28"/>
        </w:rPr>
        <w:t>224 «О внесении изменений в Прогнозный план (программу) приватизации муниципального имущества города Ставрополя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5720" distL="114300" distR="114300" distT="45720" layoutInCell="true" locked="false" relativeHeight="251658240" simplePos="false">
                <wp:simplePos x="0" y="0"/>
                <wp:positionH relativeFrom="column">
                  <wp:posOffset>5578475</wp:posOffset>
                </wp:positionH>
                <wp:positionV relativeFrom="paragraph">
                  <wp:posOffset>-628015</wp:posOffset>
                </wp:positionV>
                <wp:extent cx="371475" cy="3619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1D000000">
                            <w:pPr>
                              <w:pStyle w:val="Style_3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t xml:space="preserve"> 2023 год и плановый период 2024 и 2025 годов»</w:t>
      </w:r>
      <w:r>
        <w:rPr>
          <w:sz w:val="28"/>
        </w:rPr>
        <w:t>.</w:t>
      </w:r>
    </w:p>
    <w:p w14:paraId="1E000000">
      <w:pPr>
        <w:pStyle w:val="Style_2"/>
        <w:tabs>
          <w:tab w:leader="none" w:pos="993" w:val="left"/>
        </w:tabs>
        <w:ind w:firstLine="709" w:left="0"/>
        <w:jc w:val="both"/>
        <w:rPr>
          <w:sz w:val="28"/>
        </w:rPr>
      </w:pPr>
    </w:p>
    <w:p w14:paraId="1F000000">
      <w:pPr>
        <w:ind w:firstLine="741" w:left="0"/>
        <w:jc w:val="both"/>
      </w:pPr>
      <w:r>
        <w:rPr>
          <w:sz w:val="28"/>
        </w:rPr>
        <w:t>3. Настоящее решение вступает в силу с</w:t>
      </w:r>
      <w:r>
        <w:rPr>
          <w:sz w:val="28"/>
        </w:rPr>
        <w:t xml:space="preserve"> 1 января 2024 года,</w:t>
      </w:r>
      <w:r>
        <w:rPr>
          <w:sz w:val="28"/>
        </w:rPr>
        <w:t xml:space="preserve"> подлежит официальному опубликованию в газете «Вечерний Ставрополь», размещению на официальном сайте администрации города Ставрополя и на официальном сайте Российской Федерации в информационно-телекоммуникационной сети «Интернет».</w:t>
      </w:r>
    </w:p>
    <w:p w14:paraId="20000000">
      <w:pPr>
        <w:ind w:firstLine="539" w:left="0"/>
        <w:jc w:val="both"/>
        <w:rPr>
          <w:sz w:val="28"/>
        </w:rPr>
      </w:pPr>
    </w:p>
    <w:p w14:paraId="21000000">
      <w:pPr>
        <w:ind w:firstLine="539" w:left="0"/>
        <w:jc w:val="both"/>
        <w:rPr>
          <w:sz w:val="28"/>
        </w:rPr>
      </w:pPr>
    </w:p>
    <w:p w14:paraId="22000000">
      <w:pPr>
        <w:ind w:firstLine="539" w:left="0"/>
        <w:jc w:val="both"/>
        <w:rPr>
          <w:sz w:val="28"/>
        </w:rPr>
      </w:pPr>
    </w:p>
    <w:p w14:paraId="23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Председатель</w:t>
      </w:r>
    </w:p>
    <w:p w14:paraId="24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Ставропольской городской Думы                         </w:t>
      </w:r>
      <w:r>
        <w:rPr>
          <w:sz w:val="28"/>
        </w:rPr>
        <w:t xml:space="preserve">             </w:t>
      </w:r>
      <w:r>
        <w:rPr>
          <w:sz w:val="28"/>
        </w:rPr>
        <w:t xml:space="preserve"> 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>Г.С.Колягин</w:t>
      </w:r>
    </w:p>
    <w:p w14:paraId="25000000">
      <w:pPr>
        <w:spacing w:line="240" w:lineRule="exact"/>
        <w:ind/>
        <w:jc w:val="both"/>
        <w:outlineLvl w:val="2"/>
        <w:rPr>
          <w:sz w:val="28"/>
        </w:rPr>
      </w:pPr>
    </w:p>
    <w:p w14:paraId="26000000">
      <w:pPr>
        <w:spacing w:line="240" w:lineRule="exact"/>
        <w:ind/>
        <w:jc w:val="both"/>
        <w:outlineLvl w:val="2"/>
        <w:rPr>
          <w:sz w:val="28"/>
        </w:rPr>
      </w:pPr>
    </w:p>
    <w:p w14:paraId="27000000">
      <w:pPr>
        <w:spacing w:line="240" w:lineRule="exact"/>
        <w:ind/>
        <w:jc w:val="both"/>
        <w:outlineLvl w:val="2"/>
        <w:rPr>
          <w:sz w:val="28"/>
        </w:rPr>
      </w:pPr>
    </w:p>
    <w:p w14:paraId="28000000">
      <w:pPr>
        <w:spacing w:line="240" w:lineRule="exact"/>
        <w:ind/>
        <w:jc w:val="both"/>
        <w:outlineLvl w:val="2"/>
        <w:rPr>
          <w:sz w:val="28"/>
        </w:rPr>
      </w:pPr>
    </w:p>
    <w:p w14:paraId="29000000">
      <w:pPr>
        <w:spacing w:line="240" w:lineRule="exact"/>
        <w:ind/>
        <w:jc w:val="both"/>
        <w:outlineLvl w:val="2"/>
        <w:rPr>
          <w:sz w:val="28"/>
        </w:rPr>
      </w:pPr>
    </w:p>
    <w:p w14:paraId="2A000000">
      <w:pPr>
        <w:spacing w:line="240" w:lineRule="exact"/>
        <w:ind/>
        <w:jc w:val="both"/>
        <w:outlineLvl w:val="2"/>
        <w:rPr>
          <w:sz w:val="28"/>
        </w:rPr>
      </w:pPr>
    </w:p>
    <w:p w14:paraId="2B000000">
      <w:pPr>
        <w:spacing w:line="240" w:lineRule="exact"/>
        <w:ind/>
        <w:jc w:val="both"/>
        <w:outlineLvl w:val="2"/>
        <w:rPr>
          <w:sz w:val="28"/>
        </w:rPr>
      </w:pPr>
    </w:p>
    <w:p w14:paraId="2C000000">
      <w:pPr>
        <w:spacing w:line="240" w:lineRule="exact"/>
        <w:ind/>
        <w:jc w:val="both"/>
        <w:outlineLvl w:val="2"/>
        <w:rPr>
          <w:sz w:val="28"/>
        </w:rPr>
      </w:pPr>
    </w:p>
    <w:p w14:paraId="2D000000">
      <w:pPr>
        <w:spacing w:line="240" w:lineRule="exact"/>
        <w:ind/>
        <w:jc w:val="both"/>
        <w:outlineLvl w:val="2"/>
        <w:rPr>
          <w:sz w:val="28"/>
        </w:rPr>
      </w:pPr>
    </w:p>
    <w:p w14:paraId="2E000000">
      <w:pPr>
        <w:spacing w:line="240" w:lineRule="exact"/>
        <w:ind/>
        <w:jc w:val="both"/>
        <w:outlineLvl w:val="2"/>
        <w:rPr>
          <w:sz w:val="28"/>
        </w:rPr>
      </w:pPr>
    </w:p>
    <w:p w14:paraId="2F000000">
      <w:pPr>
        <w:spacing w:line="240" w:lineRule="exact"/>
        <w:ind/>
        <w:jc w:val="both"/>
        <w:outlineLvl w:val="2"/>
        <w:rPr>
          <w:sz w:val="28"/>
        </w:rPr>
      </w:pPr>
    </w:p>
    <w:p w14:paraId="30000000">
      <w:pPr>
        <w:spacing w:line="240" w:lineRule="exact"/>
        <w:ind/>
        <w:jc w:val="both"/>
        <w:outlineLvl w:val="2"/>
        <w:rPr>
          <w:sz w:val="28"/>
        </w:rPr>
      </w:pPr>
    </w:p>
    <w:p w14:paraId="31000000">
      <w:pPr>
        <w:spacing w:line="240" w:lineRule="exact"/>
        <w:ind/>
        <w:jc w:val="both"/>
        <w:outlineLvl w:val="2"/>
        <w:rPr>
          <w:sz w:val="28"/>
        </w:rPr>
      </w:pPr>
    </w:p>
    <w:p w14:paraId="32000000">
      <w:pPr>
        <w:spacing w:line="240" w:lineRule="exact"/>
        <w:ind/>
        <w:jc w:val="both"/>
        <w:outlineLvl w:val="2"/>
        <w:rPr>
          <w:sz w:val="28"/>
        </w:rPr>
      </w:pPr>
    </w:p>
    <w:p w14:paraId="33000000">
      <w:pPr>
        <w:spacing w:line="240" w:lineRule="exact"/>
        <w:ind/>
        <w:jc w:val="both"/>
        <w:outlineLvl w:val="2"/>
        <w:rPr>
          <w:sz w:val="28"/>
        </w:rPr>
      </w:pPr>
    </w:p>
    <w:p w14:paraId="34000000">
      <w:pPr>
        <w:spacing w:line="240" w:lineRule="exact"/>
        <w:ind/>
        <w:jc w:val="both"/>
        <w:outlineLvl w:val="2"/>
        <w:rPr>
          <w:sz w:val="28"/>
        </w:rPr>
      </w:pPr>
    </w:p>
    <w:p w14:paraId="35000000">
      <w:pPr>
        <w:spacing w:line="240" w:lineRule="exact"/>
        <w:ind/>
        <w:jc w:val="both"/>
        <w:outlineLvl w:val="2"/>
        <w:rPr>
          <w:sz w:val="28"/>
        </w:rPr>
      </w:pPr>
    </w:p>
    <w:p w14:paraId="36000000">
      <w:pPr>
        <w:spacing w:line="240" w:lineRule="exact"/>
        <w:ind/>
        <w:jc w:val="both"/>
        <w:outlineLvl w:val="2"/>
        <w:rPr>
          <w:sz w:val="28"/>
        </w:rPr>
      </w:pPr>
    </w:p>
    <w:p w14:paraId="37000000">
      <w:pPr>
        <w:spacing w:line="240" w:lineRule="exact"/>
        <w:ind/>
        <w:jc w:val="both"/>
        <w:outlineLvl w:val="2"/>
        <w:rPr>
          <w:sz w:val="28"/>
        </w:rPr>
      </w:pPr>
    </w:p>
    <w:p w14:paraId="38000000">
      <w:pPr>
        <w:spacing w:line="240" w:lineRule="exact"/>
        <w:ind/>
        <w:jc w:val="both"/>
        <w:outlineLvl w:val="2"/>
        <w:rPr>
          <w:sz w:val="28"/>
        </w:rPr>
      </w:pPr>
    </w:p>
    <w:p w14:paraId="39000000">
      <w:pPr>
        <w:spacing w:line="240" w:lineRule="exact"/>
        <w:ind/>
        <w:jc w:val="both"/>
        <w:outlineLvl w:val="2"/>
        <w:rPr>
          <w:sz w:val="28"/>
        </w:rPr>
      </w:pPr>
    </w:p>
    <w:p w14:paraId="3A000000">
      <w:pPr>
        <w:spacing w:line="240" w:lineRule="exact"/>
        <w:ind/>
        <w:jc w:val="both"/>
        <w:outlineLvl w:val="2"/>
        <w:rPr>
          <w:sz w:val="28"/>
        </w:rPr>
      </w:pPr>
    </w:p>
    <w:p w14:paraId="3B000000">
      <w:pPr>
        <w:spacing w:line="240" w:lineRule="exact"/>
        <w:ind/>
        <w:jc w:val="both"/>
        <w:outlineLvl w:val="2"/>
        <w:rPr>
          <w:sz w:val="28"/>
        </w:rPr>
      </w:pPr>
    </w:p>
    <w:p w14:paraId="3C000000">
      <w:pPr>
        <w:spacing w:line="240" w:lineRule="exact"/>
        <w:ind/>
        <w:jc w:val="both"/>
        <w:outlineLvl w:val="2"/>
        <w:rPr>
          <w:sz w:val="28"/>
        </w:rPr>
      </w:pPr>
    </w:p>
    <w:p w14:paraId="3D000000">
      <w:pPr>
        <w:spacing w:line="240" w:lineRule="exact"/>
        <w:ind/>
        <w:jc w:val="both"/>
        <w:outlineLvl w:val="2"/>
        <w:rPr>
          <w:sz w:val="28"/>
        </w:rPr>
      </w:pPr>
    </w:p>
    <w:p w14:paraId="3E000000">
      <w:pPr>
        <w:spacing w:line="240" w:lineRule="exact"/>
        <w:ind/>
        <w:jc w:val="both"/>
        <w:outlineLvl w:val="2"/>
        <w:rPr>
          <w:sz w:val="28"/>
        </w:rPr>
      </w:pPr>
    </w:p>
    <w:p w14:paraId="3F000000">
      <w:pPr>
        <w:spacing w:line="240" w:lineRule="exact"/>
        <w:ind/>
        <w:jc w:val="both"/>
        <w:outlineLvl w:val="2"/>
        <w:rPr>
          <w:sz w:val="28"/>
        </w:rPr>
      </w:pPr>
    </w:p>
    <w:p w14:paraId="40000000">
      <w:pPr>
        <w:spacing w:line="240" w:lineRule="exact"/>
        <w:ind/>
        <w:jc w:val="both"/>
        <w:outlineLvl w:val="2"/>
        <w:rPr>
          <w:sz w:val="28"/>
        </w:rPr>
      </w:pPr>
    </w:p>
    <w:p w14:paraId="41000000">
      <w:pPr>
        <w:spacing w:line="240" w:lineRule="exact"/>
        <w:ind/>
        <w:jc w:val="both"/>
        <w:outlineLvl w:val="2"/>
        <w:rPr>
          <w:sz w:val="28"/>
        </w:rPr>
      </w:pPr>
    </w:p>
    <w:p w14:paraId="42000000">
      <w:pPr>
        <w:spacing w:line="240" w:lineRule="exact"/>
        <w:ind/>
        <w:jc w:val="both"/>
        <w:outlineLvl w:val="2"/>
        <w:rPr>
          <w:sz w:val="28"/>
        </w:rPr>
      </w:pPr>
    </w:p>
    <w:p w14:paraId="43000000">
      <w:pPr>
        <w:spacing w:line="240" w:lineRule="exact"/>
        <w:ind/>
        <w:jc w:val="both"/>
        <w:outlineLvl w:val="2"/>
        <w:rPr>
          <w:sz w:val="28"/>
        </w:rPr>
      </w:pPr>
    </w:p>
    <w:p w14:paraId="44000000">
      <w:pPr>
        <w:spacing w:line="240" w:lineRule="exact"/>
        <w:ind/>
        <w:jc w:val="both"/>
        <w:outlineLvl w:val="2"/>
        <w:rPr>
          <w:sz w:val="28"/>
        </w:rPr>
      </w:pPr>
    </w:p>
    <w:p w14:paraId="45000000">
      <w:pPr>
        <w:spacing w:line="240" w:lineRule="exact"/>
        <w:ind/>
        <w:jc w:val="both"/>
        <w:outlineLvl w:val="2"/>
        <w:rPr>
          <w:sz w:val="28"/>
        </w:rPr>
      </w:pPr>
    </w:p>
    <w:p w14:paraId="46000000">
      <w:pPr>
        <w:spacing w:line="240" w:lineRule="exact"/>
        <w:ind/>
        <w:jc w:val="both"/>
        <w:outlineLvl w:val="2"/>
        <w:rPr>
          <w:sz w:val="28"/>
        </w:rPr>
      </w:pPr>
    </w:p>
    <w:p w14:paraId="47000000">
      <w:pPr>
        <w:spacing w:line="240" w:lineRule="exact"/>
        <w:ind/>
        <w:jc w:val="both"/>
        <w:outlineLvl w:val="2"/>
        <w:rPr>
          <w:sz w:val="28"/>
        </w:rPr>
      </w:pPr>
    </w:p>
    <w:p w14:paraId="48000000">
      <w:pPr>
        <w:spacing w:line="240" w:lineRule="exact"/>
        <w:ind/>
        <w:jc w:val="both"/>
        <w:outlineLvl w:val="2"/>
        <w:rPr>
          <w:sz w:val="28"/>
        </w:rPr>
      </w:pPr>
    </w:p>
    <w:p w14:paraId="49000000">
      <w:pPr>
        <w:spacing w:line="240" w:lineRule="exact"/>
        <w:ind/>
        <w:jc w:val="both"/>
        <w:outlineLvl w:val="2"/>
        <w:rPr>
          <w:sz w:val="28"/>
        </w:rPr>
      </w:pPr>
    </w:p>
    <w:p w14:paraId="4A000000">
      <w:pPr>
        <w:spacing w:line="240" w:lineRule="exact"/>
        <w:ind/>
        <w:jc w:val="both"/>
        <w:outlineLvl w:val="2"/>
        <w:rPr>
          <w:sz w:val="28"/>
        </w:rPr>
      </w:pPr>
    </w:p>
    <w:p w14:paraId="4B000000">
      <w:pPr>
        <w:spacing w:line="240" w:lineRule="exact"/>
        <w:ind/>
        <w:jc w:val="both"/>
        <w:outlineLvl w:val="2"/>
        <w:rPr>
          <w:sz w:val="28"/>
        </w:rPr>
      </w:pPr>
    </w:p>
    <w:p w14:paraId="4C000000">
      <w:pPr>
        <w:spacing w:line="240" w:lineRule="exact"/>
        <w:ind/>
        <w:jc w:val="both"/>
        <w:outlineLvl w:val="2"/>
        <w:rPr>
          <w:sz w:val="28"/>
        </w:rPr>
      </w:pPr>
    </w:p>
    <w:p w14:paraId="4D000000">
      <w:pPr>
        <w:spacing w:line="240" w:lineRule="exact"/>
        <w:ind/>
        <w:jc w:val="both"/>
        <w:outlineLvl w:val="2"/>
        <w:rPr>
          <w:sz w:val="28"/>
        </w:rPr>
      </w:pPr>
    </w:p>
    <w:p w14:paraId="4E000000">
      <w:pPr>
        <w:spacing w:line="240" w:lineRule="exact"/>
        <w:ind/>
        <w:jc w:val="both"/>
        <w:outlineLvl w:val="2"/>
        <w:rPr>
          <w:sz w:val="28"/>
        </w:rPr>
      </w:pPr>
    </w:p>
    <w:p w14:paraId="4F000000">
      <w:pPr>
        <w:spacing w:line="240" w:lineRule="exact"/>
        <w:ind/>
        <w:jc w:val="both"/>
        <w:outlineLvl w:val="2"/>
        <w:rPr>
          <w:sz w:val="28"/>
        </w:rPr>
      </w:pPr>
    </w:p>
    <w:p w14:paraId="50000000">
      <w:pPr>
        <w:spacing w:line="240" w:lineRule="exact"/>
        <w:ind/>
        <w:jc w:val="both"/>
        <w:outlineLvl w:val="2"/>
        <w:rPr>
          <w:sz w:val="28"/>
        </w:rPr>
      </w:pPr>
    </w:p>
    <w:p w14:paraId="51000000">
      <w:pPr>
        <w:spacing w:line="240" w:lineRule="exact"/>
        <w:ind w:firstLine="0" w:left="4956"/>
        <w:jc w:val="center"/>
        <w:rPr>
          <w:sz w:val="28"/>
        </w:rPr>
      </w:pPr>
      <w:r>
        <w:rPr>
          <w:sz w:val="28"/>
        </w:rPr>
        <w:t>УТВЕРЖДЕН</w:t>
      </w:r>
    </w:p>
    <w:p w14:paraId="52000000">
      <w:pPr>
        <w:spacing w:line="240" w:lineRule="exact"/>
        <w:ind w:firstLine="0" w:left="4956"/>
        <w:jc w:val="center"/>
        <w:rPr>
          <w:sz w:val="28"/>
        </w:rPr>
      </w:pPr>
    </w:p>
    <w:p w14:paraId="53000000">
      <w:pPr>
        <w:spacing w:line="240" w:lineRule="exact"/>
        <w:ind w:firstLine="0" w:left="4956"/>
        <w:jc w:val="center"/>
      </w:pPr>
      <w:r>
        <w:rPr>
          <w:sz w:val="28"/>
        </w:rPr>
        <w:t>решением</w:t>
      </w:r>
    </w:p>
    <w:p w14:paraId="54000000">
      <w:pPr>
        <w:spacing w:line="240" w:lineRule="exact"/>
        <w:ind w:firstLine="0" w:left="4956"/>
        <w:jc w:val="center"/>
      </w:pPr>
      <w:r>
        <w:rPr>
          <w:sz w:val="28"/>
        </w:rPr>
        <w:t>Ставропольской городской Думы</w:t>
      </w:r>
    </w:p>
    <w:p w14:paraId="55000000">
      <w:pPr>
        <w:spacing w:line="240" w:lineRule="exact"/>
        <w:ind w:firstLine="0" w:left="4956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29</w:t>
      </w:r>
      <w:r>
        <w:rPr>
          <w:sz w:val="28"/>
        </w:rPr>
        <w:t xml:space="preserve"> ноября 2023 г. № </w:t>
      </w:r>
      <w:r>
        <w:rPr>
          <w:sz w:val="28"/>
        </w:rPr>
        <w:t>232</w:t>
      </w:r>
    </w:p>
    <w:p w14:paraId="56000000">
      <w:pPr>
        <w:ind w:firstLine="0" w:left="4956"/>
        <w:jc w:val="center"/>
        <w:rPr>
          <w:sz w:val="28"/>
        </w:rPr>
      </w:pPr>
    </w:p>
    <w:p w14:paraId="57000000">
      <w:pPr>
        <w:ind w:firstLine="0" w:left="4956"/>
        <w:jc w:val="center"/>
        <w:rPr>
          <w:sz w:val="28"/>
        </w:rPr>
      </w:pPr>
    </w:p>
    <w:p w14:paraId="58000000">
      <w:pPr>
        <w:ind/>
        <w:jc w:val="center"/>
        <w:rPr>
          <w:sz w:val="28"/>
        </w:rPr>
      </w:pPr>
    </w:p>
    <w:p w14:paraId="59000000">
      <w:pPr>
        <w:spacing w:line="240" w:lineRule="exact"/>
        <w:ind/>
        <w:jc w:val="center"/>
      </w:pPr>
      <w:r>
        <w:rPr>
          <w:sz w:val="28"/>
        </w:rPr>
        <w:t>ПРОГНОЗНЫЙ ПЛАН</w:t>
      </w:r>
    </w:p>
    <w:p w14:paraId="5A000000">
      <w:pPr>
        <w:spacing w:line="240" w:lineRule="exact"/>
        <w:ind/>
        <w:jc w:val="center"/>
      </w:pPr>
      <w:r>
        <w:rPr>
          <w:sz w:val="28"/>
        </w:rPr>
        <w:t>приватизации муниципального имущества</w:t>
      </w:r>
    </w:p>
    <w:p w14:paraId="5B000000">
      <w:pPr>
        <w:spacing w:line="240" w:lineRule="exact"/>
        <w:ind/>
        <w:jc w:val="center"/>
      </w:pPr>
      <w:r>
        <w:rPr>
          <w:sz w:val="28"/>
        </w:rPr>
        <w:t>города Ставрополя на 2024‒2025 годы</w:t>
      </w:r>
    </w:p>
    <w:p w14:paraId="5C000000"/>
    <w:p w14:paraId="5D000000">
      <w:pPr>
        <w:spacing w:line="240" w:lineRule="exact"/>
        <w:ind/>
        <w:jc w:val="center"/>
      </w:pPr>
      <w:r>
        <w:rPr>
          <w:sz w:val="28"/>
        </w:rPr>
        <w:t>РАЗДЕЛ I</w:t>
      </w:r>
    </w:p>
    <w:p w14:paraId="5E000000">
      <w:pPr>
        <w:spacing w:line="240" w:lineRule="exact"/>
        <w:ind/>
        <w:jc w:val="center"/>
      </w:pPr>
      <w:r>
        <w:rPr>
          <w:sz w:val="28"/>
        </w:rPr>
        <w:t>Основные направления реализации политики города Ставрополя</w:t>
      </w:r>
    </w:p>
    <w:p w14:paraId="5F000000">
      <w:pPr>
        <w:spacing w:line="240" w:lineRule="exact"/>
        <w:ind/>
        <w:jc w:val="center"/>
      </w:pPr>
      <w:r>
        <w:rPr>
          <w:sz w:val="28"/>
        </w:rPr>
        <w:t xml:space="preserve">в сфере приватизации муниципального имущества в 2024‒2025 годах </w:t>
      </w:r>
    </w:p>
    <w:p w14:paraId="60000000">
      <w:pPr>
        <w:ind/>
        <w:jc w:val="center"/>
      </w:pPr>
    </w:p>
    <w:p w14:paraId="61000000">
      <w:pPr>
        <w:ind w:firstLine="709" w:left="0"/>
        <w:jc w:val="both"/>
      </w:pPr>
      <w:r>
        <w:rPr>
          <w:sz w:val="28"/>
        </w:rPr>
        <w:t>Основными направлениями приватизации муниципального имущества города Ставрополя в 2024‒2025 годах являются:</w:t>
      </w:r>
    </w:p>
    <w:p w14:paraId="62000000">
      <w:pPr>
        <w:ind w:firstLine="709" w:left="0"/>
        <w:jc w:val="both"/>
      </w:pPr>
      <w:r>
        <w:rPr>
          <w:sz w:val="28"/>
        </w:rPr>
        <w:t>повышение эффективности управления муниципальным имуществом города Ставрополя;</w:t>
      </w:r>
    </w:p>
    <w:p w14:paraId="63000000">
      <w:pPr>
        <w:ind w:firstLine="709" w:left="0"/>
        <w:jc w:val="both"/>
      </w:pPr>
      <w:r>
        <w:rPr>
          <w:sz w:val="28"/>
        </w:rPr>
        <w:t>формирование доходной части бюджета города Ставрополя.</w:t>
      </w:r>
    </w:p>
    <w:p w14:paraId="64000000">
      <w:pPr>
        <w:spacing w:line="300" w:lineRule="exact"/>
        <w:ind/>
      </w:pPr>
    </w:p>
    <w:p w14:paraId="65000000">
      <w:pPr>
        <w:spacing w:line="240" w:lineRule="exact"/>
        <w:ind/>
        <w:jc w:val="center"/>
      </w:pPr>
      <w:r>
        <w:rPr>
          <w:sz w:val="28"/>
        </w:rPr>
        <w:t>РАЗДЕЛ II</w:t>
      </w:r>
    </w:p>
    <w:p w14:paraId="66000000">
      <w:pPr>
        <w:spacing w:line="240" w:lineRule="exact"/>
        <w:ind/>
        <w:jc w:val="center"/>
      </w:pPr>
      <w:r>
        <w:rPr>
          <w:sz w:val="28"/>
        </w:rPr>
        <w:t>Муниципальное имущество города Ставрополя, приватизация которого планируется в 2024‒2025 годах</w:t>
      </w:r>
    </w:p>
    <w:p w14:paraId="67000000"/>
    <w:p w14:paraId="68000000">
      <w:pPr>
        <w:spacing w:line="240" w:lineRule="exact"/>
        <w:ind/>
        <w:jc w:val="center"/>
      </w:pPr>
      <w:r>
        <w:rPr>
          <w:sz w:val="28"/>
        </w:rPr>
        <w:t>Перечень</w:t>
      </w:r>
    </w:p>
    <w:p w14:paraId="69000000">
      <w:pPr>
        <w:spacing w:line="240" w:lineRule="exact"/>
        <w:ind/>
        <w:jc w:val="center"/>
      </w:pPr>
      <w:r>
        <w:rPr>
          <w:sz w:val="28"/>
        </w:rPr>
        <w:t>муниципального имущества города Ставрополя, которое планируется приватизировать в 2024 году путем продажи на аукционе, посредством публичного предложения</w:t>
      </w:r>
    </w:p>
    <w:p w14:paraId="6A000000"/>
    <w:tbl>
      <w:tblPr>
        <w:tblStyle w:val="Style_4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04"/>
        <w:gridCol w:w="2975"/>
        <w:gridCol w:w="5665"/>
      </w:tblGrid>
      <w:tr>
        <w:trPr>
          <w:trHeight w:hRule="atLeast" w:val="507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B000000">
            <w:pPr>
              <w:ind/>
              <w:jc w:val="center"/>
            </w:pPr>
            <w:r>
              <w:rPr>
                <w:sz w:val="28"/>
              </w:rPr>
              <w:t>№</w:t>
            </w:r>
          </w:p>
          <w:p w14:paraId="6C000000">
            <w:pPr>
              <w:ind/>
              <w:jc w:val="center"/>
            </w:pPr>
            <w:r>
              <w:rPr>
                <w:sz w:val="28"/>
              </w:rPr>
              <w:t>п/п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D000000">
            <w:r>
              <w:rPr>
                <w:sz w:val="28"/>
              </w:rPr>
              <w:t>Наименование объекта, назначение объекта</w:t>
            </w:r>
          </w:p>
        </w:tc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E000000">
            <w:r>
              <w:rPr>
                <w:sz w:val="28"/>
              </w:rPr>
              <w:t>Местонахождение, характеристика объекта, кадастровый номер</w:t>
            </w:r>
          </w:p>
        </w:tc>
      </w:tr>
      <w:tr>
        <w:trPr>
          <w:trHeight w:hRule="atLeast" w:val="1187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ind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r>
              <w:rPr>
                <w:sz w:val="28"/>
              </w:rPr>
              <w:t>Помещение, нежилое помещение</w:t>
            </w:r>
          </w:p>
        </w:tc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r>
              <w:rPr>
                <w:sz w:val="28"/>
              </w:rPr>
              <w:t>Ставропольский край, город Ставрополь, улица Кирова, 19, помещения № 1–4, 6, 10, площадью 58,6 кв. м, этаж: 01, кадастровый номер 26:12:021518:565</w:t>
            </w:r>
          </w:p>
        </w:tc>
      </w:tr>
    </w:tbl>
    <w:p w14:paraId="72000000"/>
    <w:p w14:paraId="73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74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муниципального имущества города Ставрополя, которое планируется приватизировать в 2025 году путем продажи на аукционе, посредством публичного предложения</w:t>
      </w:r>
    </w:p>
    <w:p w14:paraId="75000000"/>
    <w:tbl>
      <w:tblPr>
        <w:tblStyle w:val="Style_4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09"/>
        <w:gridCol w:w="2970"/>
        <w:gridCol w:w="5665"/>
      </w:tblGrid>
      <w:tr>
        <w:trPr>
          <w:trHeight w:hRule="atLeast" w:val="64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6000000">
            <w:pPr>
              <w:ind/>
              <w:jc w:val="center"/>
            </w:pPr>
            <w:r>
              <w:rPr>
                <w:sz w:val="28"/>
              </w:rPr>
              <w:t>№</w:t>
            </w:r>
          </w:p>
          <w:p w14:paraId="77000000">
            <w:pPr>
              <w:ind/>
              <w:jc w:val="center"/>
            </w:pPr>
            <w:r>
              <w:rPr>
                <w:sz w:val="28"/>
              </w:rPr>
              <w:t>п/п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8000000">
            <w:r>
              <w:rPr>
                <w:sz w:val="28"/>
              </w:rPr>
              <w:t>Наименование объекта, назначение объекта</w:t>
            </w:r>
          </w:p>
        </w:tc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9000000">
            <w:r>
              <w:rPr>
                <w:sz w:val="28"/>
              </w:rPr>
              <w:t>Местонахождение, характеристика объекта, кадастровый номер</w:t>
            </w:r>
          </w:p>
        </w:tc>
      </w:tr>
      <w:tr>
        <w:trPr>
          <w:trHeight w:hRule="atLeast" w:val="84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ind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r>
              <w:rPr>
                <w:sz w:val="28"/>
              </w:rPr>
              <w:t>Нежилое помещение, нежилое</w:t>
            </w:r>
          </w:p>
        </w:tc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r>
              <w:rPr>
                <w:sz w:val="28"/>
              </w:rPr>
              <w:t>Ставропольский край, город Ставрополь, улица Объездная, 8, помещение № 74, площадью 8,2 кв. м, этаж: 01, кадастровый номер 26:12:030306:810</w:t>
            </w:r>
          </w:p>
        </w:tc>
      </w:tr>
    </w:tbl>
    <w:p w14:paraId="7D000000">
      <w:pPr>
        <w:ind/>
        <w:jc w:val="center"/>
        <w:rPr>
          <w:sz w:val="28"/>
        </w:rPr>
      </w:pPr>
      <w:r>
        <w:rPr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5720" distL="114300" distR="114300" distT="45720" layoutInCell="true" locked="false" relativeHeight="251658240" simplePos="false">
                <wp:simplePos x="0" y="0"/>
                <wp:positionH relativeFrom="column">
                  <wp:posOffset>5657850</wp:posOffset>
                </wp:positionH>
                <wp:positionV relativeFrom="paragraph">
                  <wp:posOffset>-655320</wp:posOffset>
                </wp:positionV>
                <wp:extent cx="371475" cy="36195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7E000000">
                            <w:pPr>
                              <w:pStyle w:val="Style_3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5720" distL="114300" distR="114300" distT="45720" layoutInCell="true" locked="false" relativeHeight="251658240" simplePos="false">
                <wp:simplePos x="0" y="0"/>
                <wp:positionH relativeFrom="column">
                  <wp:posOffset>5749925</wp:posOffset>
                </wp:positionH>
                <wp:positionV relativeFrom="paragraph">
                  <wp:posOffset>-1367155</wp:posOffset>
                </wp:positionV>
                <wp:extent cx="371475" cy="35242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7F000000">
                            <w:pPr>
                              <w:pStyle w:val="Style_3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t>РАЗДЕЛ I</w:t>
      </w:r>
      <w:r>
        <w:rPr>
          <w:sz w:val="28"/>
        </w:rPr>
        <w:t>II</w:t>
      </w:r>
    </w:p>
    <w:p w14:paraId="80000000">
      <w:pPr>
        <w:spacing w:line="240" w:lineRule="exact"/>
        <w:ind/>
        <w:jc w:val="center"/>
      </w:pPr>
      <w:r>
        <w:rPr>
          <w:sz w:val="28"/>
        </w:rPr>
        <w:t>Прогноз объемов поступлений в бюджет города Ставрополя от реализации муниципального имущества</w:t>
      </w:r>
    </w:p>
    <w:p w14:paraId="81000000"/>
    <w:p w14:paraId="82000000">
      <w:pPr>
        <w:ind w:firstLine="709" w:left="0"/>
        <w:jc w:val="both"/>
      </w:pPr>
      <w:r>
        <w:rPr>
          <w:sz w:val="28"/>
        </w:rPr>
        <w:t>Поступления в бюджет города Ставрополя доходов от реализации муниципального имущества ожидаются в сумме 1 348,8 тыс. рублей (с учетом НДС 20%), в том числе по годам:</w:t>
      </w:r>
    </w:p>
    <w:p w14:paraId="83000000">
      <w:pPr>
        <w:ind w:firstLine="709" w:left="0"/>
        <w:jc w:val="both"/>
      </w:pPr>
      <w:r>
        <w:rPr>
          <w:sz w:val="28"/>
        </w:rPr>
        <w:t>в 2024 году в сумме 996,20 тыс. рублей;</w:t>
      </w:r>
    </w:p>
    <w:p w14:paraId="84000000">
      <w:pPr>
        <w:ind w:firstLine="709" w:left="0"/>
        <w:jc w:val="both"/>
        <w:rPr>
          <w:sz w:val="28"/>
        </w:rPr>
      </w:pPr>
      <w:r>
        <w:rPr>
          <w:sz w:val="28"/>
        </w:rPr>
        <w:t>в 2025 году в сумме 352,60 тыс. рублей.</w:t>
      </w:r>
    </w:p>
    <w:p w14:paraId="85000000">
      <w:pPr>
        <w:ind/>
        <w:jc w:val="both"/>
        <w:outlineLvl w:val="2"/>
        <w:rPr>
          <w:sz w:val="28"/>
        </w:rPr>
      </w:pPr>
    </w:p>
    <w:p w14:paraId="86000000">
      <w:pPr>
        <w:ind/>
        <w:jc w:val="both"/>
        <w:outlineLvl w:val="2"/>
        <w:rPr>
          <w:sz w:val="28"/>
        </w:rPr>
      </w:pPr>
    </w:p>
    <w:p w14:paraId="87000000">
      <w:pPr>
        <w:ind/>
        <w:jc w:val="both"/>
        <w:outlineLvl w:val="2"/>
        <w:rPr>
          <w:sz w:val="28"/>
        </w:rPr>
      </w:pPr>
    </w:p>
    <w:p w14:paraId="88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Председатель </w:t>
      </w:r>
    </w:p>
    <w:p w14:paraId="89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Ставропольской городской Думы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</w:t>
      </w:r>
      <w:r>
        <w:rPr>
          <w:sz w:val="28"/>
        </w:rPr>
        <w:t>Г.С.Колягин</w:t>
      </w:r>
    </w:p>
    <w:p w14:paraId="8A000000">
      <w:pPr>
        <w:spacing w:line="240" w:lineRule="exact"/>
        <w:ind/>
        <w:jc w:val="both"/>
        <w:outlineLvl w:val="2"/>
        <w:rPr>
          <w:sz w:val="28"/>
        </w:rPr>
      </w:pPr>
    </w:p>
    <w:p w14:paraId="8B000000">
      <w:pPr>
        <w:spacing w:line="240" w:lineRule="exact"/>
        <w:ind/>
        <w:jc w:val="both"/>
        <w:outlineLvl w:val="2"/>
        <w:rPr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5" w:type="paragraph">
    <w:name w:val="Обычный1"/>
    <w:link w:val="Style_5_ch"/>
    <w:rPr>
      <w:rFonts w:ascii="Times New Roman" w:hAnsi="Times New Roman"/>
      <w:sz w:val="24"/>
    </w:rPr>
  </w:style>
  <w:style w:styleId="Style_5_ch" w:type="character">
    <w:name w:val="Обычный1"/>
    <w:link w:val="Style_5"/>
    <w:rPr>
      <w:rFonts w:ascii="Times New Roman" w:hAnsi="Times New Roman"/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Title"/>
    <w:link w:val="Style_8_ch"/>
    <w:pPr>
      <w:spacing w:after="0" w:line="240" w:lineRule="auto"/>
      <w:ind/>
    </w:pPr>
    <w:rPr>
      <w:rFonts w:ascii="Arial" w:hAnsi="Arial"/>
      <w:b w:val="1"/>
      <w:sz w:val="20"/>
    </w:rPr>
  </w:style>
  <w:style w:styleId="Style_8_ch" w:type="character">
    <w:name w:val="ConsPlusTitle"/>
    <w:link w:val="Style_8"/>
    <w:rPr>
      <w:rFonts w:ascii="Arial" w:hAnsi="Arial"/>
      <w:b w:val="1"/>
      <w:sz w:val="20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3_ch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Содержимое таблицы"/>
    <w:basedOn w:val="Style_3"/>
    <w:link w:val="Style_15_ch"/>
  </w:style>
  <w:style w:styleId="Style_15_ch" w:type="character">
    <w:name w:val="Содержимое таблицы"/>
    <w:basedOn w:val="Style_3_ch"/>
    <w:link w:val="Style_15"/>
  </w:style>
  <w:style w:styleId="Style_16" w:type="paragraph">
    <w:name w:val="ConsNormal"/>
    <w:link w:val="Style_16_ch"/>
    <w:pPr>
      <w:spacing w:after="0" w:line="240" w:lineRule="auto"/>
      <w:ind w:firstLine="720" w:left="0" w:right="19772"/>
    </w:pPr>
    <w:rPr>
      <w:rFonts w:ascii="Arial" w:hAnsi="Arial"/>
      <w:sz w:val="24"/>
    </w:rPr>
  </w:style>
  <w:style w:styleId="Style_16_ch" w:type="character">
    <w:name w:val="ConsNormal"/>
    <w:link w:val="Style_16"/>
    <w:rPr>
      <w:rFonts w:ascii="Arial" w:hAnsi="Arial"/>
      <w:sz w:val="24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8" w:type="paragraph">
    <w:name w:val="toc 3"/>
    <w:next w:val="Style_3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ody Text Indent"/>
    <w:basedOn w:val="Style_3"/>
    <w:link w:val="Style_19_ch"/>
    <w:pPr>
      <w:spacing w:after="120"/>
      <w:ind w:firstLine="0" w:left="283"/>
    </w:pPr>
    <w:rPr>
      <w:sz w:val="26"/>
    </w:rPr>
  </w:style>
  <w:style w:styleId="Style_19_ch" w:type="character">
    <w:name w:val="Body Text Indent"/>
    <w:basedOn w:val="Style_3_ch"/>
    <w:link w:val="Style_19"/>
    <w:rPr>
      <w:sz w:val="26"/>
    </w:rPr>
  </w:style>
  <w:style w:styleId="Style_20" w:type="paragraph">
    <w:name w:val="ConsTitle"/>
    <w:link w:val="Style_20_ch"/>
    <w:pPr>
      <w:widowControl w:val="0"/>
      <w:spacing w:after="0" w:line="240" w:lineRule="auto"/>
      <w:ind/>
    </w:pPr>
    <w:rPr>
      <w:rFonts w:ascii="Arial" w:hAnsi="Arial"/>
      <w:b w:val="1"/>
      <w:color w:val="000000"/>
      <w:sz w:val="16"/>
    </w:rPr>
  </w:style>
  <w:style w:styleId="Style_20_ch" w:type="character">
    <w:name w:val="ConsTitle"/>
    <w:link w:val="Style_20"/>
    <w:rPr>
      <w:rFonts w:ascii="Arial" w:hAnsi="Arial"/>
      <w:b w:val="1"/>
      <w:color w:val="000000"/>
      <w:sz w:val="16"/>
    </w:rPr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heading 1"/>
    <w:next w:val="Style_3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3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ConsPlusNormal"/>
    <w:link w:val="Style_27_ch"/>
    <w:pPr>
      <w:widowControl w:val="0"/>
      <w:spacing w:after="0" w:line="240" w:lineRule="auto"/>
      <w:ind/>
    </w:pPr>
    <w:rPr>
      <w:rFonts w:ascii="Calibri" w:hAnsi="Calibri"/>
    </w:rPr>
  </w:style>
  <w:style w:styleId="Style_27_ch" w:type="character">
    <w:name w:val="ConsPlusNormal"/>
    <w:link w:val="Style_27"/>
    <w:rPr>
      <w:rFonts w:ascii="Calibri" w:hAnsi="Calibri"/>
    </w:rPr>
  </w:style>
  <w:style w:styleId="Style_28" w:type="paragraph">
    <w:name w:val="toc 9"/>
    <w:next w:val="Style_3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9" w:type="paragraph">
    <w:name w:val="toc 8"/>
    <w:next w:val="Style_3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Balloon Text"/>
    <w:basedOn w:val="Style_3"/>
    <w:link w:val="Style_31_ch"/>
    <w:rPr>
      <w:rFonts w:ascii="Segoe UI" w:hAnsi="Segoe UI"/>
      <w:sz w:val="18"/>
    </w:rPr>
  </w:style>
  <w:style w:styleId="Style_31_ch" w:type="character">
    <w:name w:val="Balloon Text"/>
    <w:basedOn w:val="Style_3_ch"/>
    <w:link w:val="Style_31"/>
    <w:rPr>
      <w:rFonts w:ascii="Segoe UI" w:hAnsi="Segoe UI"/>
      <w:sz w:val="18"/>
    </w:rPr>
  </w:style>
  <w:style w:styleId="Style_32" w:type="paragraph">
    <w:name w:val="toc 5"/>
    <w:next w:val="Style_3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3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Body Text"/>
    <w:basedOn w:val="Style_3"/>
    <w:link w:val="Style_36_ch"/>
    <w:pPr>
      <w:spacing w:line="240" w:lineRule="exact"/>
      <w:ind/>
      <w:jc w:val="both"/>
    </w:pPr>
    <w:rPr>
      <w:sz w:val="28"/>
    </w:rPr>
  </w:style>
  <w:style w:styleId="Style_36_ch" w:type="character">
    <w:name w:val="Body Text"/>
    <w:basedOn w:val="Style_3_ch"/>
    <w:link w:val="Style_36"/>
    <w:rPr>
      <w:sz w:val="28"/>
    </w:rPr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2023-12-05T13:42:16Z</dcterms:modified>
</cp:coreProperties>
</file>