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</w:tcPr>
          <w:p w14:paraId="01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</w:tcPr>
          <w:p w14:paraId="02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  <w:p w14:paraId="03000000">
            <w:pPr>
              <w:ind/>
              <w:jc w:val="center"/>
              <w:rPr>
                <w:sz w:val="28"/>
              </w:rPr>
            </w:pPr>
          </w:p>
          <w:p w14:paraId="04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решению</w:t>
            </w:r>
          </w:p>
          <w:p w14:paraId="05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Ставропольской городской Думы</w:t>
            </w:r>
          </w:p>
          <w:p w14:paraId="06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ноября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2022 г.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134</w:t>
            </w:r>
          </w:p>
        </w:tc>
      </w:tr>
    </w:tbl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ПРОГРАММА</w:t>
      </w:r>
    </w:p>
    <w:p w14:paraId="0B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муниципальных внутренних заимствований города Ставрополя</w:t>
      </w:r>
    </w:p>
    <w:p w14:paraId="0C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</w:p>
    <w:p w14:paraId="0D000000">
      <w:pPr>
        <w:spacing w:line="240" w:lineRule="exact"/>
        <w:ind w:firstLine="0" w:left="567"/>
        <w:jc w:val="center"/>
        <w:rPr>
          <w:sz w:val="28"/>
        </w:rPr>
      </w:pPr>
    </w:p>
    <w:p w14:paraId="0E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1. Муниципальные внутренние заимствования</w:t>
      </w:r>
    </w:p>
    <w:p w14:paraId="0F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города Ставрополя на 202</w:t>
      </w:r>
      <w:r>
        <w:rPr>
          <w:sz w:val="28"/>
        </w:rPr>
        <w:t>3</w:t>
      </w:r>
      <w:r>
        <w:rPr>
          <w:sz w:val="28"/>
        </w:rPr>
        <w:t xml:space="preserve"> год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29"/>
        <w:gridCol w:w="1741"/>
        <w:gridCol w:w="18"/>
        <w:gridCol w:w="1751"/>
      </w:tblGrid>
      <w:tr>
        <w:trPr>
          <w:trHeight w:hRule="atLeast" w:val="20"/>
        </w:trPr>
        <w:tc>
          <w:tcPr>
            <w:tcW w:type="dxa" w:w="612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0000000">
            <w:pPr>
              <w:rPr>
                <w:sz w:val="22"/>
              </w:rPr>
            </w:pPr>
          </w:p>
        </w:tc>
        <w:tc>
          <w:tcPr>
            <w:tcW w:type="dxa" w:w="174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1000000">
            <w:pPr>
              <w:ind/>
              <w:jc w:val="right"/>
              <w:rPr>
                <w:sz w:val="22"/>
              </w:rPr>
            </w:pPr>
          </w:p>
        </w:tc>
        <w:tc>
          <w:tcPr>
            <w:tcW w:type="dxa" w:w="176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2000000">
            <w:pPr>
              <w:ind w:right="-52"/>
              <w:jc w:val="right"/>
              <w:rPr>
                <w:sz w:val="22"/>
              </w:rPr>
            </w:pPr>
          </w:p>
          <w:p w14:paraId="13000000">
            <w:pPr>
              <w:ind w:right="-52"/>
              <w:jc w:val="right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</w:tr>
      <w:tr>
        <w:trPr>
          <w:trHeight w:hRule="atLeast" w:val="20"/>
        </w:trPr>
        <w:tc>
          <w:tcPr>
            <w:tcW w:type="dxa" w:w="6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 w:firstLine="1192" w:left="-1192"/>
              <w:jc w:val="center"/>
              <w:rPr>
                <w:sz w:val="22"/>
              </w:rPr>
            </w:pPr>
            <w:r>
              <w:rPr>
                <w:sz w:val="22"/>
              </w:rPr>
              <w:t>Вид заимствования</w:t>
            </w:r>
          </w:p>
        </w:tc>
        <w:tc>
          <w:tcPr>
            <w:tcW w:type="dxa" w:w="35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</w:tc>
      </w:tr>
      <w:tr>
        <w:trPr>
          <w:trHeight w:hRule="atLeast" w:val="20"/>
        </w:trPr>
        <w:tc>
          <w:tcPr>
            <w:tcW w:type="dxa" w:w="6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погашение</w:t>
            </w:r>
          </w:p>
          <w:p w14:paraId="1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основной суммы долга</w:t>
            </w:r>
          </w:p>
        </w:tc>
      </w:tr>
      <w:tr>
        <w:trPr>
          <w:trHeight w:hRule="atLeast" w:val="20"/>
        </w:trPr>
        <w:tc>
          <w:tcPr>
            <w:tcW w:type="dxa" w:w="612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type="dxa" w:w="1759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1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029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91</w:t>
            </w:r>
          </w:p>
        </w:tc>
        <w:tc>
          <w:tcPr>
            <w:tcW w:type="dxa" w:w="175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1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7 0</w:t>
            </w:r>
            <w:r>
              <w:rPr>
                <w:sz w:val="22"/>
              </w:rPr>
              <w:t>00 000,00</w:t>
            </w:r>
          </w:p>
        </w:tc>
      </w:tr>
      <w:tr>
        <w:trPr>
          <w:trHeight w:hRule="atLeast" w:val="20"/>
        </w:trPr>
        <w:tc>
          <w:tcPr>
            <w:tcW w:type="dxa" w:w="61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75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00 000,00</w:t>
            </w:r>
          </w:p>
        </w:tc>
        <w:tc>
          <w:tcPr>
            <w:tcW w:type="dxa" w:w="17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00 000,00</w:t>
            </w:r>
          </w:p>
        </w:tc>
      </w:tr>
      <w:tr>
        <w:trPr>
          <w:trHeight w:hRule="atLeast" w:val="20"/>
        </w:trPr>
        <w:tc>
          <w:tcPr>
            <w:tcW w:type="dxa" w:w="61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Итого: </w:t>
            </w:r>
          </w:p>
        </w:tc>
        <w:tc>
          <w:tcPr>
            <w:tcW w:type="dxa" w:w="175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8 3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029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91</w:t>
            </w:r>
          </w:p>
        </w:tc>
        <w:tc>
          <w:tcPr>
            <w:tcW w:type="dxa" w:w="17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00 000,00</w:t>
            </w:r>
          </w:p>
        </w:tc>
      </w:tr>
    </w:tbl>
    <w:p w14:paraId="22000000">
      <w:pPr>
        <w:ind/>
        <w:jc w:val="center"/>
        <w:rPr>
          <w:sz w:val="22"/>
        </w:rPr>
      </w:pPr>
    </w:p>
    <w:p w14:paraId="2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2. Муниципальные внутренние заимствования</w:t>
      </w:r>
    </w:p>
    <w:p w14:paraId="24000000">
      <w:pPr>
        <w:spacing w:line="240" w:lineRule="exact"/>
        <w:ind/>
        <w:jc w:val="center"/>
      </w:pPr>
      <w:r>
        <w:rPr>
          <w:sz w:val="28"/>
        </w:rPr>
        <w:t>города Ставрополя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</w:p>
    <w:p w14:paraId="25000000">
      <w:pPr>
        <w:ind/>
        <w:jc w:val="center"/>
        <w:rPr>
          <w:sz w:val="28"/>
        </w:rPr>
      </w:pPr>
    </w:p>
    <w:tbl>
      <w:tblPr>
        <w:tblStyle w:val="Style_1"/>
        <w:tblW w:type="auto" w:w="0"/>
        <w:tblLayout w:type="fixed"/>
      </w:tblPr>
      <w:tblGrid>
        <w:gridCol w:w="3510"/>
        <w:gridCol w:w="1418"/>
        <w:gridCol w:w="1701"/>
        <w:gridCol w:w="354"/>
        <w:gridCol w:w="1063"/>
        <w:gridCol w:w="1593"/>
      </w:tblGrid>
      <w:tr>
        <w:trPr>
          <w:trHeight w:hRule="atLeast" w:val="20"/>
        </w:trPr>
        <w:tc>
          <w:tcPr>
            <w:tcW w:type="dxa" w:w="3510"/>
            <w:tcBorders>
              <w:bottom w:color="000000" w:sz="4" w:val="single"/>
            </w:tcBorders>
            <w:shd w:fill="auto" w:val="clear"/>
            <w:vAlign w:val="bottom"/>
          </w:tcPr>
          <w:p w14:paraId="26000000">
            <w:pPr>
              <w:rPr>
                <w:sz w:val="22"/>
              </w:rPr>
            </w:pPr>
          </w:p>
        </w:tc>
        <w:tc>
          <w:tcPr>
            <w:tcW w:type="dxa" w:w="3473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27000000">
            <w:pPr>
              <w:rPr>
                <w:sz w:val="22"/>
              </w:rPr>
            </w:pPr>
          </w:p>
        </w:tc>
        <w:tc>
          <w:tcPr>
            <w:tcW w:type="dxa" w:w="2656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28000000">
            <w:pPr>
              <w:ind w:right="-75"/>
              <w:jc w:val="right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</w:tr>
      <w:tr>
        <w:trPr>
          <w:trHeight w:hRule="atLeast" w:val="20"/>
        </w:trPr>
        <w:tc>
          <w:tcPr>
            <w:tcW w:type="dxa" w:w="3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Вид заимствования</w:t>
            </w:r>
          </w:p>
        </w:tc>
        <w:tc>
          <w:tcPr>
            <w:tcW w:type="dxa" w:w="61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 </w:t>
            </w:r>
          </w:p>
        </w:tc>
      </w:tr>
      <w:tr>
        <w:trPr>
          <w:trHeight w:hRule="atLeast" w:val="20"/>
        </w:trPr>
        <w:tc>
          <w:tcPr>
            <w:tcW w:type="dxa" w:w="3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type="dxa" w:w="30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</w:t>
            </w:r>
          </w:p>
        </w:tc>
      </w:tr>
      <w:tr>
        <w:trPr>
          <w:trHeight w:hRule="atLeast" w:val="20"/>
        </w:trPr>
        <w:tc>
          <w:tcPr>
            <w:tcW w:type="dxa" w:w="3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погашение основной суммы долга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погашение основной суммы долга</w:t>
            </w:r>
          </w:p>
        </w:tc>
      </w:tr>
      <w:tr>
        <w:trPr>
          <w:trHeight w:hRule="atLeast" w:val="20"/>
        </w:trPr>
        <w:tc>
          <w:tcPr>
            <w:tcW w:type="dxa" w:w="3510"/>
            <w:tcBorders>
              <w:top w:color="000000" w:sz="4" w:val="single"/>
            </w:tcBorders>
            <w:shd w:fill="auto" w:val="clear"/>
          </w:tcPr>
          <w:p w14:paraId="31000000">
            <w:pPr>
              <w:rPr>
                <w:sz w:val="22"/>
              </w:rPr>
            </w:pPr>
            <w:r>
              <w:rPr>
                <w:sz w:val="22"/>
              </w:rPr>
              <w:t xml:space="preserve">Кредиты, полученные от кредитных организаций </w:t>
            </w:r>
          </w:p>
          <w:p w14:paraId="32000000">
            <w:pPr>
              <w:rPr>
                <w:sz w:val="22"/>
              </w:rPr>
            </w:pPr>
            <w:r>
              <w:rPr>
                <w:sz w:val="22"/>
              </w:rPr>
              <w:t>в валюте Российской Федерации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 000 000,00</w:t>
            </w:r>
          </w:p>
        </w:tc>
        <w:tc>
          <w:tcPr>
            <w:tcW w:type="dxa" w:w="1701"/>
            <w:tcBorders>
              <w:top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 000 000,00</w:t>
            </w:r>
          </w:p>
        </w:tc>
        <w:tc>
          <w:tcPr>
            <w:tcW w:type="dxa" w:w="1417"/>
            <w:gridSpan w:val="2"/>
            <w:tcBorders>
              <w:top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 000 000,00</w:t>
            </w:r>
          </w:p>
        </w:tc>
        <w:tc>
          <w:tcPr>
            <w:tcW w:type="dxa" w:w="1593"/>
            <w:tcBorders>
              <w:top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 000 000,00</w:t>
            </w:r>
          </w:p>
        </w:tc>
      </w:tr>
      <w:tr>
        <w:trPr>
          <w:trHeight w:hRule="atLeast" w:val="20"/>
        </w:trPr>
        <w:tc>
          <w:tcPr>
            <w:tcW w:type="dxa" w:w="3510"/>
            <w:shd w:fill="auto" w:val="clear"/>
          </w:tcPr>
          <w:p w14:paraId="37000000">
            <w:pPr>
              <w:rPr>
                <w:sz w:val="22"/>
              </w:rPr>
            </w:pPr>
            <w:r>
              <w:rPr>
                <w:sz w:val="22"/>
              </w:rPr>
              <w:t xml:space="preserve">Бюджетные кредиты из других бюджетов </w:t>
            </w:r>
          </w:p>
          <w:p w14:paraId="38000000">
            <w:pPr>
              <w:rPr>
                <w:sz w:val="22"/>
              </w:rPr>
            </w:pPr>
            <w:r>
              <w:rPr>
                <w:sz w:val="22"/>
              </w:rPr>
              <w:t>бюджетной системы Российской Федерации</w:t>
            </w:r>
          </w:p>
          <w:p w14:paraId="39000000">
            <w:pPr>
              <w:rPr>
                <w:sz w:val="22"/>
              </w:rPr>
            </w:pPr>
            <w:r>
              <w:rPr>
                <w:sz w:val="22"/>
              </w:rPr>
              <w:t>в валюте Российской Федерации</w:t>
            </w:r>
          </w:p>
        </w:tc>
        <w:tc>
          <w:tcPr>
            <w:tcW w:type="dxa" w:w="1418"/>
            <w:shd w:fill="auto" w:val="clear"/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1 200 000,00</w:t>
            </w:r>
          </w:p>
        </w:tc>
        <w:tc>
          <w:tcPr>
            <w:tcW w:type="dxa" w:w="1701"/>
            <w:shd w:fill="auto" w:val="clear"/>
          </w:tcPr>
          <w:p w14:paraId="3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1 200 000,00</w:t>
            </w:r>
          </w:p>
        </w:tc>
        <w:tc>
          <w:tcPr>
            <w:tcW w:type="dxa" w:w="1417"/>
            <w:gridSpan w:val="2"/>
            <w:shd w:fill="auto" w:val="clear"/>
          </w:tcPr>
          <w:p w14:paraId="3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1 200 000,00</w:t>
            </w:r>
          </w:p>
        </w:tc>
        <w:tc>
          <w:tcPr>
            <w:tcW w:type="dxa" w:w="1593"/>
            <w:shd w:fill="auto" w:val="clear"/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1 200 000,00</w:t>
            </w:r>
          </w:p>
        </w:tc>
      </w:tr>
      <w:tr>
        <w:trPr>
          <w:trHeight w:hRule="atLeast" w:val="20"/>
        </w:trPr>
        <w:tc>
          <w:tcPr>
            <w:tcW w:type="dxa" w:w="3510"/>
            <w:shd w:fill="auto" w:val="clear"/>
          </w:tcPr>
          <w:p w14:paraId="3E000000">
            <w:pPr>
              <w:rPr>
                <w:sz w:val="22"/>
              </w:rPr>
            </w:pPr>
            <w:bookmarkStart w:id="1" w:name="_GoBack"/>
            <w:bookmarkEnd w:id="1"/>
            <w:r>
              <w:rPr>
                <w:sz w:val="22"/>
              </w:rPr>
              <w:t xml:space="preserve">Итого: </w:t>
            </w:r>
          </w:p>
        </w:tc>
        <w:tc>
          <w:tcPr>
            <w:tcW w:type="dxa" w:w="1418"/>
            <w:shd w:fill="auto" w:val="clear"/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 200 000,00</w:t>
            </w:r>
          </w:p>
        </w:tc>
        <w:tc>
          <w:tcPr>
            <w:tcW w:type="dxa" w:w="1701"/>
            <w:shd w:fill="auto" w:val="clear"/>
          </w:tcPr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 200 000,00</w:t>
            </w:r>
          </w:p>
        </w:tc>
        <w:tc>
          <w:tcPr>
            <w:tcW w:type="dxa" w:w="1417"/>
            <w:gridSpan w:val="2"/>
            <w:shd w:fill="auto" w:val="clear"/>
          </w:tcPr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 200 000,00</w:t>
            </w:r>
          </w:p>
        </w:tc>
        <w:tc>
          <w:tcPr>
            <w:tcW w:type="dxa" w:w="1593"/>
            <w:shd w:fill="auto" w:val="clear"/>
            <w:tcMar>
              <w:left w:type="dxa" w:w="51"/>
            </w:tcMar>
          </w:tcPr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 200 000,00</w:t>
            </w:r>
          </w:p>
        </w:tc>
      </w:tr>
    </w:tbl>
    <w:p w14:paraId="43000000">
      <w:pPr>
        <w:ind/>
        <w:jc w:val="both"/>
        <w:rPr>
          <w:sz w:val="22"/>
        </w:rPr>
      </w:pPr>
    </w:p>
    <w:p w14:paraId="44000000">
      <w:pPr>
        <w:ind/>
        <w:jc w:val="both"/>
        <w:rPr>
          <w:sz w:val="22"/>
        </w:rPr>
      </w:pPr>
    </w:p>
    <w:p w14:paraId="45000000">
      <w:pPr>
        <w:ind/>
        <w:jc w:val="both"/>
        <w:rPr>
          <w:sz w:val="22"/>
        </w:rPr>
      </w:pPr>
    </w:p>
    <w:p w14:paraId="46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Председатель</w:t>
      </w:r>
    </w:p>
    <w:p w14:paraId="47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Ставропольской городской Думы </w:t>
      </w:r>
      <w:r>
        <w:rPr>
          <w:sz w:val="28"/>
        </w:rPr>
        <w:tab/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Колягин</w:t>
      </w:r>
    </w:p>
    <w:p w14:paraId="48000000"/>
    <w:p w14:paraId="49000000">
      <w:pPr>
        <w:ind w:firstLine="709" w:left="0"/>
        <w:jc w:val="both"/>
        <w:rPr>
          <w:sz w:val="20"/>
        </w:rPr>
      </w:pPr>
    </w:p>
    <w:sectPr>
      <w:pgSz w:h="16838" w:orient="portrait" w:w="11906"/>
      <w:pgMar w:bottom="1134" w:footer="709" w:gutter="0" w:header="709" w:left="1985" w:right="62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pPr>
      <w:spacing w:after="0" w:line="240" w:lineRule="auto"/>
      <w:ind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ConsPlusTitle"/>
    <w:link w:val="Style_1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2_ch" w:type="character">
    <w:name w:val="ConsPlusTitle"/>
    <w:link w:val="Style_12"/>
    <w:rPr>
      <w:rFonts w:ascii="Arial" w:hAnsi="Arial"/>
      <w:b w:val="1"/>
      <w:sz w:val="20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3_ch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2024-03-05T06:39:28Z</dcterms:modified>
</cp:coreProperties>
</file>