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</w:tcPr>
          <w:p w14:paraId="04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</w:tcPr>
          <w:p w14:paraId="05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7</w:t>
            </w:r>
          </w:p>
          <w:p w14:paraId="06000000">
            <w:pPr>
              <w:spacing w:line="240" w:lineRule="exact"/>
              <w:ind/>
              <w:jc w:val="center"/>
              <w:rPr>
                <w:sz w:val="28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8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9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дека</w:t>
            </w:r>
            <w:r>
              <w:rPr>
                <w:sz w:val="28"/>
              </w:rPr>
              <w:t>бря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2023 г.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</w:p>
          <w:p w14:paraId="0A000000">
            <w:pPr>
              <w:spacing w:line="240" w:lineRule="exact"/>
              <w:ind/>
              <w:jc w:val="center"/>
              <w:rPr>
                <w:sz w:val="28"/>
              </w:rPr>
            </w:pPr>
          </w:p>
        </w:tc>
      </w:tr>
    </w:tbl>
    <w:p w14:paraId="0B000000">
      <w:pPr>
        <w:spacing w:line="240" w:lineRule="exact"/>
        <w:ind/>
        <w:jc w:val="center"/>
        <w:rPr>
          <w:sz w:val="28"/>
        </w:rPr>
      </w:pPr>
    </w:p>
    <w:p w14:paraId="0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ПРОГРАММА</w:t>
      </w:r>
    </w:p>
    <w:p w14:paraId="0D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муниципальных внутренних заимствований города Ставрополя</w:t>
      </w:r>
    </w:p>
    <w:p w14:paraId="0E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на 2024 год и плановый период 2025 и 2026</w:t>
      </w:r>
      <w:r>
        <w:rPr>
          <w:sz w:val="28"/>
        </w:rPr>
        <w:t xml:space="preserve"> годов</w:t>
      </w:r>
    </w:p>
    <w:p w14:paraId="0F000000">
      <w:pPr>
        <w:tabs>
          <w:tab w:leader="none" w:pos="5400" w:val="left"/>
        </w:tabs>
        <w:spacing w:line="240" w:lineRule="exact"/>
        <w:ind/>
      </w:pPr>
    </w:p>
    <w:p w14:paraId="10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1. Муниципальные внутренние заимствования  </w:t>
      </w:r>
    </w:p>
    <w:p w14:paraId="11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города Ставрополя на 2024</w:t>
      </w:r>
      <w:r>
        <w:rPr>
          <w:sz w:val="28"/>
        </w:rPr>
        <w:t xml:space="preserve"> год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6"/>
        <w:gridCol w:w="1551"/>
        <w:gridCol w:w="1533"/>
        <w:gridCol w:w="35"/>
        <w:gridCol w:w="1734"/>
      </w:tblGrid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308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2000000">
            <w:pPr>
              <w:ind/>
              <w:jc w:val="right"/>
            </w:pPr>
          </w:p>
        </w:tc>
        <w:tc>
          <w:tcPr>
            <w:tcW w:type="dxa" w:w="176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4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заимствования</w:t>
            </w:r>
          </w:p>
        </w:tc>
        <w:tc>
          <w:tcPr>
            <w:tcW w:type="dxa" w:w="3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муниципальных долговых обязательств</w:t>
            </w:r>
          </w:p>
        </w:tc>
      </w:tr>
      <w:tr>
        <w:trPr>
          <w:trHeight w:hRule="atLeast" w:val="20"/>
        </w:trPr>
        <w:tc>
          <w:tcPr>
            <w:tcW w:type="dxa" w:w="4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объемы </w:t>
            </w:r>
          </w:p>
        </w:tc>
        <w:tc>
          <w:tcPr>
            <w:tcW w:type="dxa" w:w="15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"/>
        </w:trPr>
        <w:tc>
          <w:tcPr>
            <w:tcW w:type="dxa" w:w="478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type="dxa" w:w="155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130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784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13</w:t>
            </w:r>
          </w:p>
        </w:tc>
        <w:tc>
          <w:tcPr>
            <w:tcW w:type="dxa" w:w="156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73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1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00 000,00</w:t>
            </w:r>
          </w:p>
        </w:tc>
      </w:tr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815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854</w:t>
            </w:r>
            <w:r>
              <w:rPr>
                <w:sz w:val="20"/>
              </w:rPr>
              <w:t>,00</w:t>
            </w:r>
          </w:p>
        </w:tc>
        <w:tc>
          <w:tcPr>
            <w:tcW w:type="dxa" w:w="15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декабря 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type="dxa" w:w="1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854</w:t>
            </w:r>
            <w:r>
              <w:rPr>
                <w:sz w:val="20"/>
              </w:rPr>
              <w:t>,00</w:t>
            </w:r>
          </w:p>
        </w:tc>
      </w:tr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7 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46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638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13</w:t>
            </w:r>
          </w:p>
        </w:tc>
        <w:tc>
          <w:tcPr>
            <w:tcW w:type="dxa" w:w="15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7 8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854</w:t>
            </w:r>
            <w:r>
              <w:rPr>
                <w:sz w:val="20"/>
              </w:rPr>
              <w:t>,00</w:t>
            </w:r>
          </w:p>
        </w:tc>
      </w:tr>
    </w:tbl>
    <w:p w14:paraId="26000000">
      <w:pPr>
        <w:ind/>
        <w:jc w:val="center"/>
      </w:pPr>
    </w:p>
    <w:p w14:paraId="27000000">
      <w:pPr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2. Муниципальные внутренние заимствования</w:t>
      </w:r>
    </w:p>
    <w:p w14:paraId="28000000">
      <w:pPr>
        <w:spacing w:line="240" w:lineRule="exact"/>
        <w:ind/>
        <w:contextualSpacing w:val="1"/>
        <w:jc w:val="center"/>
      </w:pPr>
      <w:r>
        <w:rPr>
          <w:sz w:val="28"/>
        </w:rPr>
        <w:t>города Ст</w:t>
      </w:r>
      <w:r>
        <w:rPr>
          <w:sz w:val="28"/>
        </w:rPr>
        <w:t>аврополя на плановый период 2025 и 2026</w:t>
      </w:r>
      <w:r>
        <w:rPr>
          <w:sz w:val="28"/>
        </w:rPr>
        <w:t xml:space="preserve"> годов</w:t>
      </w:r>
    </w:p>
    <w:tbl>
      <w:tblPr>
        <w:tblStyle w:val="Style_2"/>
        <w:tblW w:type="auto" w:w="0"/>
        <w:tblLayout w:type="fixed"/>
      </w:tblPr>
      <w:tblGrid>
        <w:gridCol w:w="1384"/>
        <w:gridCol w:w="1276"/>
        <w:gridCol w:w="1417"/>
        <w:gridCol w:w="1418"/>
        <w:gridCol w:w="1276"/>
        <w:gridCol w:w="212"/>
        <w:gridCol w:w="1205"/>
        <w:gridCol w:w="1451"/>
      </w:tblGrid>
      <w:tr>
        <w:trPr>
          <w:trHeight w:hRule="atLeast" w:val="20"/>
        </w:trPr>
        <w:tc>
          <w:tcPr>
            <w:tcW w:type="dxa" w:w="1384"/>
            <w:tcBorders>
              <w:bottom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5599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6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2900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Вид заимствования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41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год</w:t>
            </w:r>
          </w:p>
        </w:tc>
      </w:tr>
      <w:tr>
        <w:trPr>
          <w:trHeight w:hRule="atLeast" w:val="20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2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униципаль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долговых обязательств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униципаль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долговых обязательств</w:t>
            </w:r>
          </w:p>
        </w:tc>
      </w:tr>
      <w:tr>
        <w:trPr>
          <w:trHeight w:hRule="atLeast" w:val="20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"/>
        </w:trPr>
        <w:tc>
          <w:tcPr>
            <w:tcW w:type="dxa" w:w="1384"/>
            <w:tcBorders>
              <w:top w:color="000000" w:sz="4" w:val="single"/>
            </w:tcBorders>
            <w:shd w:fill="auto" w:val="clear"/>
          </w:tcPr>
          <w:p w14:paraId="37000000">
            <w:pPr>
              <w:ind/>
              <w:contextualSpacing w:val="1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 xml:space="preserve">Кредиты, полученные от кредитных организаций </w:t>
            </w:r>
          </w:p>
          <w:p w14:paraId="3800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>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00 000,00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00 000,00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00 000,00</w:t>
            </w:r>
          </w:p>
        </w:tc>
        <w:tc>
          <w:tcPr>
            <w:tcW w:type="dxa" w:w="1417"/>
            <w:gridSpan w:val="2"/>
            <w:tcBorders>
              <w:top w:color="000000" w:sz="4" w:val="single"/>
            </w:tcBorders>
            <w:shd w:fill="auto" w:val="clear"/>
          </w:tcPr>
          <w:p w14:paraId="3D000000">
            <w:pPr>
              <w:ind/>
              <w:jc w:val="center"/>
            </w:pPr>
            <w:r>
              <w:rPr>
                <w:sz w:val="20"/>
              </w:rPr>
              <w:t>2029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451"/>
            <w:tcBorders>
              <w:top w:color="000000" w:sz="4" w:val="single"/>
            </w:tcBorders>
            <w:shd w:fill="auto" w:val="clear"/>
          </w:tcPr>
          <w:p w14:paraId="3E000000">
            <w:pPr>
              <w:ind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00 000,00</w:t>
            </w:r>
          </w:p>
        </w:tc>
      </w:tr>
      <w:tr>
        <w:trPr>
          <w:trHeight w:hRule="atLeast" w:val="20"/>
        </w:trPr>
        <w:tc>
          <w:tcPr>
            <w:tcW w:type="dxa" w:w="1384"/>
            <w:shd w:fill="auto" w:val="clear"/>
          </w:tcPr>
          <w:p w14:paraId="3F00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 xml:space="preserve">Бюджетные кредиты из других бюджетов </w:t>
            </w:r>
          </w:p>
          <w:p w14:paraId="4000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 xml:space="preserve">бюджетной системы </w:t>
            </w:r>
          </w:p>
          <w:p w14:paraId="4100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  <w:p w14:paraId="4200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>в валюте Российской Федерации</w:t>
            </w:r>
          </w:p>
        </w:tc>
        <w:tc>
          <w:tcPr>
            <w:tcW w:type="dxa" w:w="1276"/>
            <w:shd w:fill="auto" w:val="clear"/>
          </w:tcPr>
          <w:p w14:paraId="4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420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930</w:t>
            </w:r>
            <w:r>
              <w:rPr>
                <w:sz w:val="20"/>
              </w:rPr>
              <w:t>,00</w:t>
            </w:r>
          </w:p>
        </w:tc>
        <w:tc>
          <w:tcPr>
            <w:tcW w:type="dxa" w:w="1417"/>
            <w:shd w:fill="auto" w:val="clear"/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декабря 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type="dxa" w:w="1418"/>
            <w:shd w:fill="auto" w:val="clear"/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420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  <w:r>
              <w:rPr>
                <w:sz w:val="20"/>
              </w:rPr>
              <w:t>0,00</w:t>
            </w:r>
          </w:p>
        </w:tc>
        <w:tc>
          <w:tcPr>
            <w:tcW w:type="dxa" w:w="1276"/>
            <w:shd w:fill="auto" w:val="clear"/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356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type="dxa" w:w="1417"/>
            <w:gridSpan w:val="2"/>
            <w:shd w:fill="auto" w:val="clear"/>
          </w:tcPr>
          <w:p w14:paraId="47000000">
            <w:pPr>
              <w:ind/>
              <w:jc w:val="center"/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декабря 2026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type="dxa" w:w="1451"/>
            <w:shd w:fill="auto" w:val="clear"/>
          </w:tcPr>
          <w:p w14:paraId="48000000">
            <w:pPr>
              <w:ind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356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1384"/>
            <w:shd w:fill="auto" w:val="clear"/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type="dxa" w:w="1276"/>
            <w:shd w:fill="auto" w:val="clea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 9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93</w:t>
            </w:r>
            <w:r>
              <w:rPr>
                <w:sz w:val="2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18"/>
            <w:shd w:fill="auto" w:val="clear"/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5 920 930,00</w:t>
            </w:r>
          </w:p>
        </w:tc>
        <w:tc>
          <w:tcPr>
            <w:tcW w:type="dxa" w:w="1276"/>
            <w:shd w:fill="auto" w:val="clea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 8</w:t>
            </w:r>
            <w:r>
              <w:rPr>
                <w:sz w:val="20"/>
              </w:rPr>
              <w:t>56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type="dxa" w:w="1417"/>
            <w:gridSpan w:val="2"/>
            <w:shd w:fill="auto" w:val="clear"/>
          </w:tcPr>
          <w:p w14:paraId="4E000000">
            <w:pPr>
              <w:ind/>
              <w:jc w:val="center"/>
            </w:pPr>
          </w:p>
        </w:tc>
        <w:tc>
          <w:tcPr>
            <w:tcW w:type="dxa" w:w="1451"/>
            <w:shd w:fill="auto" w:val="clear"/>
            <w:tcMar>
              <w:left w:type="dxa" w:w="51"/>
            </w:tcMar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5 856 120,00</w:t>
            </w:r>
          </w:p>
        </w:tc>
      </w:tr>
    </w:tbl>
    <w:p w14:paraId="50000000">
      <w:pPr>
        <w:ind/>
        <w:jc w:val="both"/>
        <w:outlineLvl w:val="2"/>
        <w:rPr>
          <w:sz w:val="32"/>
        </w:rPr>
      </w:pPr>
    </w:p>
    <w:p w14:paraId="51000000">
      <w:pPr>
        <w:ind/>
        <w:jc w:val="both"/>
        <w:outlineLvl w:val="2"/>
        <w:rPr>
          <w:sz w:val="32"/>
        </w:rPr>
      </w:pPr>
    </w:p>
    <w:p w14:paraId="52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Председатель </w:t>
      </w:r>
    </w:p>
    <w:p w14:paraId="53000000">
      <w:pPr>
        <w:spacing w:line="240" w:lineRule="exact"/>
        <w:ind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Г.С.Колягин</w:t>
      </w:r>
    </w:p>
    <w:sectPr>
      <w:headerReference r:id="rId1" w:type="default"/>
      <w:headerReference r:id="rId2" w:type="first"/>
      <w:pgSz w:h="16838" w:orient="portrait" w:w="11906"/>
      <w:pgMar w:bottom="454" w:footer="709" w:gutter="0" w:header="709" w:left="1985" w:right="567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onsPlusNormal"/>
    <w:link w:val="Style_24_ch"/>
    <w:pPr>
      <w:spacing w:after="0" w:line="240" w:lineRule="auto"/>
      <w:ind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Title"/>
    <w:link w:val="Style_2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7_ch" w:type="character">
    <w:name w:val="ConsPlusTitle"/>
    <w:link w:val="Style_27"/>
    <w:rPr>
      <w:rFonts w:ascii="Arial" w:hAnsi="Arial"/>
      <w:b w:val="1"/>
      <w:sz w:val="20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2024-02-21T15:55:21Z</dcterms:modified>
</cp:coreProperties>
</file>