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ind/>
        <w:contextualSpacing w:val="1"/>
        <w:rPr>
          <w:color w:themeColor="background1" w:val="FFFFFF"/>
        </w:rPr>
      </w:pPr>
      <w:r>
        <w:rPr>
          <w:color w:themeColor="background1" w:val="FFFFFF"/>
        </w:rPr>
        <w:t>\</w:t>
      </w:r>
    </w:p>
    <w:p w14:paraId="05000000">
      <w:pPr>
        <w:pStyle w:val="Style_2"/>
        <w:widowControl w:val="1"/>
        <w:ind/>
        <w:contextualSpacing w:val="1"/>
        <w:rPr>
          <w:color w:val="000000"/>
        </w:rPr>
      </w:pPr>
    </w:p>
    <w:p w14:paraId="06000000">
      <w:pPr>
        <w:widowControl w:val="1"/>
        <w:spacing w:line="240" w:lineRule="auto"/>
        <w:ind/>
        <w:contextualSpacing w:val="1"/>
        <w:jc w:val="center"/>
        <w:rPr>
          <w:rFonts w:ascii="Times New Roman" w:hAnsi="Times New Roman"/>
          <w:color w:themeColor="background1" w:val="FFFFFF"/>
          <w:spacing w:val="30"/>
          <w:sz w:val="32"/>
        </w:rPr>
      </w:pPr>
    </w:p>
    <w:p w14:paraId="07000000">
      <w:pPr>
        <w:widowControl w:val="1"/>
        <w:spacing w:after="0" w:line="240" w:lineRule="exact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08000000">
      <w:pPr>
        <w:widowControl w:val="1"/>
        <w:spacing w:after="0" w:line="240" w:lineRule="exact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09000000">
      <w:pPr>
        <w:widowControl w:val="1"/>
        <w:spacing w:after="0" w:line="240" w:lineRule="exact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0A000000">
      <w:pPr>
        <w:widowControl w:val="1"/>
        <w:spacing w:after="0" w:line="240" w:lineRule="exact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0B000000">
      <w:pPr>
        <w:widowControl w:val="1"/>
        <w:spacing w:after="0" w:line="240" w:lineRule="exact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0C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28"/>
        </w:rPr>
        <w:t>О внесении изменений в постановление администрации города Ставрополя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от 06.06.2025 № 1205 «Об утверждении Порядка предоставления из бюджета города Ставрополя субсидий субъектам малого и среднего предпринимательства, осуществляющим деятельность на территории города Ставрополя, на частичное возмещение затрат в приоритетных сферах</w:t>
      </w:r>
      <w:r>
        <w:rPr>
          <w:rFonts w:ascii="Times New Roman" w:hAnsi="Times New Roman"/>
          <w:sz w:val="28"/>
        </w:rPr>
        <w:t>»</w:t>
      </w:r>
    </w:p>
    <w:p w14:paraId="0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</w:p>
    <w:p w14:paraId="0E000000">
      <w:pPr>
        <w:widowControl w:val="1"/>
        <w:spacing w:after="0" w:before="0" w:line="240" w:lineRule="auto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соответствии с Бюджетным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sz w:val="28"/>
        </w:rPr>
        <w:t>кодексом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Российской Федерации,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sz w:val="28"/>
        </w:rPr>
        <w:t>постановлением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Правительства Российской Федерации от 25 октября 2023 г. № 1782 </w:t>
      </w:r>
      <w:r>
        <w:rPr>
          <w:rFonts w:ascii="Times New Roman" w:hAnsi="Times New Roman"/>
          <w:b w:val="0"/>
          <w:sz w:val="28"/>
        </w:rPr>
        <w:t xml:space="preserve">«Об утверждении общих требований к нормативным правовым актам, муниципальным правовым актам, регулирующим предоставление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/>
          <w:b w:val="0"/>
          <w:sz w:val="28"/>
        </w:rPr>
        <w:t>, муниципальной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sz w:val="28"/>
        </w:rPr>
        <w:t>программой «</w:t>
      </w:r>
      <w:r>
        <w:rPr>
          <w:rFonts w:ascii="Times New Roman" w:hAnsi="Times New Roman"/>
          <w:b w:val="0"/>
          <w:sz w:val="28"/>
        </w:rPr>
        <w:t>Экономическое развитие города Ставрополя», утвержденной постановлением администрации города Ставрополя от 30.10.2025 № 2470</w:t>
      </w:r>
    </w:p>
    <w:p w14:paraId="0F000000">
      <w:pPr>
        <w:widowControl w:val="1"/>
        <w:tabs>
          <w:tab w:leader="none" w:pos="0" w:val="left"/>
        </w:tabs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ab/>
      </w:r>
    </w:p>
    <w:p w14:paraId="10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ПОСТАНОВЛЯЮ:</w:t>
      </w:r>
    </w:p>
    <w:p w14:paraId="11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12000000">
      <w:pPr>
        <w:pStyle w:val="Style_3"/>
        <w:widowControl w:val="1"/>
        <w:ind/>
        <w:jc w:val="both"/>
        <w:rPr>
          <w:b w:val="0"/>
          <w:shd w:fill="F8D957" w:val="clear"/>
        </w:rPr>
      </w:pPr>
      <w:r>
        <w:rPr>
          <w:color w:themeColor="text1" w:val="000000"/>
        </w:rPr>
        <w:t>1.</w:t>
      </w:r>
      <w:r>
        <w:rPr>
          <w:rFonts w:ascii="Times New Roman" w:hAnsi="Times New Roman"/>
          <w:color w:themeColor="text1" w:val="000000"/>
          <w:spacing w:val="0"/>
          <w:sz w:val="28"/>
        </w:rPr>
        <w:t xml:space="preserve">  Утвердить </w:t>
      </w:r>
      <w:r>
        <w:rPr>
          <w:b w:val="0"/>
        </w:rPr>
        <w:t xml:space="preserve">прилагаемые изменения, которые вносятся </w:t>
      </w:r>
      <w:r>
        <w:rPr>
          <w:b w:val="0"/>
        </w:rPr>
        <w:br/>
      </w:r>
      <w:r>
        <w:rPr>
          <w:b w:val="0"/>
        </w:rPr>
        <w:t xml:space="preserve">в </w:t>
      </w:r>
      <w:r>
        <w:rPr>
          <w:b w:val="0"/>
          <w:strike w:val="0"/>
        </w:rPr>
        <w:t>постановление</w:t>
      </w:r>
      <w:r>
        <w:rPr>
          <w:b w:val="0"/>
        </w:rPr>
        <w:t xml:space="preserve"> </w:t>
      </w:r>
      <w:r>
        <w:rPr>
          <w:b w:val="0"/>
        </w:rPr>
        <w:t xml:space="preserve">администрации города Ставрополя </w:t>
      </w:r>
      <w:r>
        <w:rPr>
          <w:b w:val="0"/>
        </w:rPr>
        <w:t xml:space="preserve">от </w:t>
      </w:r>
      <w:r>
        <w:rPr>
          <w:rFonts w:ascii="Times New Roman" w:hAnsi="Times New Roman"/>
          <w:sz w:val="28"/>
        </w:rPr>
        <w:t>06.06.2025 № 1205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«Об утверждении Порядка предоставления из бюджета города Ставрополя субсидий субъектам малого и среднего предпринимательства, осуществляющим деятельности на территории города Ставрополя,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частичное возмещение затрат в приоритетных сферах</w:t>
      </w:r>
      <w:r>
        <w:rPr>
          <w:rFonts w:ascii="Times New Roman" w:hAnsi="Times New Roman"/>
          <w:sz w:val="28"/>
        </w:rPr>
        <w:t xml:space="preserve">». </w:t>
      </w:r>
    </w:p>
    <w:p w14:paraId="13000000">
      <w:pPr>
        <w:pStyle w:val="Style_3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Настоящее постановление вступает в силу на следующий день после дня его официального опубликования в сетевом издании «Правовой портал администрации города Ставрополя» (право-ставрополь.рф).  </w:t>
      </w:r>
    </w:p>
    <w:p w14:paraId="14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Разместить настоящее постановление на официальном сайте администрации города Ставрополя в информационно-телекоммуникационной сети «Интернет».</w:t>
      </w:r>
    </w:p>
    <w:p w14:paraId="15000000">
      <w:pPr>
        <w:pStyle w:val="Style_3"/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Контроль исполнения настоящего постановления возложить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первого заместителя главы администрации города Ставрополя Белицу С.И.</w:t>
      </w:r>
    </w:p>
    <w:p w14:paraId="16000000">
      <w:pPr>
        <w:pStyle w:val="Style_3"/>
        <w:widowControl w:val="1"/>
        <w:ind/>
        <w:jc w:val="both"/>
        <w:rPr>
          <w:b w:val="0"/>
        </w:rPr>
      </w:pPr>
    </w:p>
    <w:p w14:paraId="17000000">
      <w:pPr>
        <w:pStyle w:val="Style_3"/>
        <w:widowControl w:val="1"/>
        <w:ind/>
        <w:jc w:val="both"/>
        <w:rPr>
          <w:b w:val="0"/>
        </w:rPr>
      </w:pPr>
    </w:p>
    <w:p w14:paraId="18000000">
      <w:pPr>
        <w:pStyle w:val="Style_3"/>
        <w:widowControl w:val="1"/>
        <w:ind/>
        <w:jc w:val="both"/>
        <w:rPr>
          <w:b w:val="0"/>
        </w:rPr>
      </w:pPr>
    </w:p>
    <w:p w14:paraId="19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sz w:val="28"/>
        </w:rPr>
        <w:t xml:space="preserve">Глава города Ставрополя                                              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И.И. Ульянченко</w:t>
      </w:r>
    </w:p>
    <w:p w14:paraId="1A000000">
      <w:pPr>
        <w:pStyle w:val="Style_3"/>
        <w:widowControl w:val="1"/>
        <w:ind/>
        <w:jc w:val="both"/>
        <w:rPr>
          <w:b w:val="0"/>
        </w:rPr>
      </w:pPr>
    </w:p>
    <w:p w14:paraId="1B000000">
      <w:pPr>
        <w:pStyle w:val="Style_4"/>
        <w:widowControl w:val="0"/>
        <w:spacing w:after="0" w:before="0" w:line="240" w:lineRule="exact"/>
        <w:ind w:firstLine="0" w:left="5244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УТВЕРЖДЕНЫ</w:t>
      </w:r>
    </w:p>
    <w:p w14:paraId="1C000000">
      <w:pPr>
        <w:pStyle w:val="Style_4"/>
        <w:widowControl w:val="0"/>
        <w:spacing w:after="0" w:before="0" w:line="240" w:lineRule="exact"/>
        <w:ind w:firstLine="0" w:left="4819" w:right="0"/>
        <w:rPr>
          <w:rFonts w:ascii="Times New Roman" w:hAnsi="Times New Roman"/>
          <w:sz w:val="28"/>
        </w:rPr>
      </w:pPr>
    </w:p>
    <w:p w14:paraId="1D000000">
      <w:pPr>
        <w:pStyle w:val="Style_4"/>
        <w:widowControl w:val="0"/>
        <w:spacing w:after="0" w:before="0" w:line="240" w:lineRule="exact"/>
        <w:ind w:firstLine="0" w:left="4819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постановлением администрации</w:t>
      </w:r>
    </w:p>
    <w:p w14:paraId="1E000000">
      <w:pPr>
        <w:pStyle w:val="Style_4"/>
        <w:widowControl w:val="0"/>
        <w:spacing w:after="0" w:before="0" w:line="240" w:lineRule="exact"/>
        <w:ind w:firstLine="0" w:left="5244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города Ставрополя</w:t>
      </w:r>
    </w:p>
    <w:p w14:paraId="1F000000">
      <w:pPr>
        <w:pStyle w:val="Style_3"/>
        <w:widowControl w:val="1"/>
        <w:ind w:firstLine="0" w:left="5244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 от                      №              </w:t>
      </w:r>
    </w:p>
    <w:p w14:paraId="20000000">
      <w:pPr>
        <w:pStyle w:val="Style_3"/>
        <w:widowControl w:val="1"/>
        <w:ind/>
        <w:jc w:val="both"/>
        <w:rPr>
          <w:b w:val="0"/>
        </w:rPr>
      </w:pPr>
    </w:p>
    <w:p w14:paraId="21000000">
      <w:pPr>
        <w:pStyle w:val="Style_3"/>
        <w:widowControl w:val="1"/>
        <w:ind/>
        <w:jc w:val="both"/>
        <w:rPr>
          <w:b w:val="0"/>
        </w:rPr>
      </w:pPr>
    </w:p>
    <w:p w14:paraId="22000000">
      <w:pPr>
        <w:pStyle w:val="Style_3"/>
        <w:widowControl w:val="1"/>
        <w:spacing w:line="240" w:lineRule="exact"/>
        <w:ind w:firstLine="0"/>
        <w:jc w:val="center"/>
        <w:rPr>
          <w:b w:val="0"/>
        </w:rPr>
      </w:pPr>
      <w:r>
        <w:rPr>
          <w:b w:val="0"/>
        </w:rPr>
        <w:t>ИЗМЕНЕНИЯ,</w:t>
      </w:r>
    </w:p>
    <w:p w14:paraId="23000000">
      <w:pPr>
        <w:pStyle w:val="Style_3"/>
        <w:widowControl w:val="1"/>
        <w:spacing w:line="240" w:lineRule="exact"/>
        <w:ind w:firstLine="0"/>
        <w:jc w:val="center"/>
        <w:rPr>
          <w:b w:val="0"/>
        </w:rPr>
      </w:pPr>
      <w:r>
        <w:rPr>
          <w:b w:val="0"/>
        </w:rPr>
        <w:t xml:space="preserve">которые вносятся в </w:t>
      </w:r>
      <w:r>
        <w:rPr>
          <w:b w:val="0"/>
          <w:strike w:val="0"/>
        </w:rPr>
        <w:t>постановление</w:t>
      </w:r>
      <w:r>
        <w:rPr>
          <w:b w:val="0"/>
        </w:rPr>
        <w:t xml:space="preserve"> </w:t>
      </w:r>
      <w:r>
        <w:rPr>
          <w:b w:val="0"/>
        </w:rPr>
        <w:t xml:space="preserve">администрации города Ставрополя </w:t>
      </w:r>
    </w:p>
    <w:p w14:paraId="24000000">
      <w:pPr>
        <w:pStyle w:val="Style_3"/>
        <w:widowControl w:val="1"/>
        <w:spacing w:line="240" w:lineRule="exact"/>
        <w:ind w:firstLine="0"/>
        <w:jc w:val="center"/>
        <w:rPr>
          <w:b w:val="0"/>
        </w:rPr>
      </w:pPr>
      <w:r>
        <w:rPr>
          <w:b w:val="0"/>
        </w:rPr>
        <w:t xml:space="preserve">от </w:t>
      </w:r>
      <w:r>
        <w:rPr>
          <w:rFonts w:ascii="Times New Roman" w:hAnsi="Times New Roman"/>
          <w:sz w:val="28"/>
        </w:rPr>
        <w:t>06.06.2025 № 1205 «Об утверждении Порядка предоставления из бюджета города Ставрополя субсидий субъектам малого и среднего предпринимательства, осуществляющим деятельности на территории города Ставрополя, на частичное возмещение затрат в приоритетных сферах</w:t>
      </w:r>
      <w:r>
        <w:rPr>
          <w:rFonts w:ascii="Times New Roman" w:hAnsi="Times New Roman"/>
          <w:sz w:val="28"/>
        </w:rPr>
        <w:t>»</w:t>
      </w:r>
    </w:p>
    <w:p w14:paraId="25000000">
      <w:pPr>
        <w:pStyle w:val="Style_3"/>
        <w:widowControl w:val="1"/>
        <w:ind w:firstLine="0"/>
        <w:jc w:val="center"/>
        <w:rPr>
          <w:rFonts w:ascii="Times New Roman" w:hAnsi="Times New Roman"/>
          <w:sz w:val="28"/>
        </w:rPr>
      </w:pPr>
    </w:p>
    <w:p w14:paraId="26000000">
      <w:pPr>
        <w:pStyle w:val="Style_3"/>
        <w:widowControl w:val="1"/>
        <w:ind w:firstLine="709" w:left="0"/>
        <w:jc w:val="both"/>
        <w:rPr>
          <w:b w:val="0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b w:val="0"/>
        </w:rPr>
        <w:t>В</w:t>
      </w:r>
      <w:r>
        <w:rPr>
          <w:b w:val="0"/>
        </w:rPr>
        <w:t xml:space="preserve"> </w:t>
      </w:r>
      <w:r>
        <w:rPr>
          <w:b w:val="0"/>
          <w:strike w:val="0"/>
          <w:color w:val="000000"/>
          <w:u w:color="000000" w:val="none"/>
        </w:rPr>
        <w:fldChar w:fldCharType="begin"/>
      </w:r>
      <w:r>
        <w:rPr>
          <w:b w:val="0"/>
          <w:strike w:val="0"/>
          <w:color w:val="000000"/>
          <w:u w:color="000000" w:val="none"/>
        </w:rPr>
        <w:instrText>HYPERLINK "https://login.consultant.ru/link/?req=doc&amp;base=RLAW077&amp;n=261038&amp;dst=100004&amp;field=134&amp;date=26.02.2026"</w:instrText>
      </w:r>
      <w:r>
        <w:rPr>
          <w:b w:val="0"/>
          <w:strike w:val="0"/>
          <w:color w:val="000000"/>
          <w:u w:color="000000" w:val="none"/>
        </w:rPr>
        <w:fldChar w:fldCharType="separate"/>
      </w:r>
      <w:r>
        <w:rPr>
          <w:b w:val="0"/>
          <w:strike w:val="0"/>
          <w:color w:val="000000"/>
          <w:u w:color="000000" w:val="none"/>
        </w:rPr>
        <w:t>преамбуле</w:t>
      </w:r>
      <w:r>
        <w:rPr>
          <w:b w:val="0"/>
          <w:strike w:val="0"/>
          <w:color w:val="000000"/>
          <w:u w:color="000000" w:val="none"/>
        </w:rPr>
        <w:fldChar w:fldCharType="end"/>
      </w:r>
      <w:r>
        <w:rPr>
          <w:b w:val="0"/>
        </w:rPr>
        <w:t xml:space="preserve"> </w:t>
      </w:r>
      <w:r>
        <w:rPr>
          <w:b w:val="0"/>
        </w:rPr>
        <w:t>слова «а также физическим лицам производителям товаров, работ, услуг и» заменить словами «физическим лицам и», слова «</w:t>
      </w:r>
      <w:r>
        <w:rPr>
          <w:b w:val="0"/>
        </w:rPr>
        <w:t>постановлением администрации города Ставрополя от 10.11.2022 № 2410» заменить словами «</w:t>
      </w:r>
      <w:r>
        <w:rPr>
          <w:rFonts w:ascii="Times New Roman" w:hAnsi="Times New Roman"/>
          <w:b w:val="0"/>
          <w:sz w:val="28"/>
        </w:rPr>
        <w:t xml:space="preserve">постановлением администрации города Ставрополя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от 30.10.2025 № 2470»</w:t>
      </w:r>
      <w:r>
        <w:rPr>
          <w:b w:val="0"/>
        </w:rPr>
        <w:t>.</w:t>
      </w:r>
    </w:p>
    <w:p w14:paraId="27000000">
      <w:pPr>
        <w:pStyle w:val="Style_3"/>
        <w:widowControl w:val="1"/>
        <w:ind w:firstLine="709" w:left="0"/>
        <w:jc w:val="both"/>
        <w:rPr>
          <w:b w:val="0"/>
        </w:rPr>
      </w:pPr>
      <w:r>
        <w:rPr>
          <w:rFonts w:ascii="Times New Roman" w:hAnsi="Times New Roman"/>
          <w:sz w:val="28"/>
        </w:rPr>
        <w:t xml:space="preserve">2. В </w:t>
      </w:r>
      <w:r>
        <w:rPr>
          <w:b w:val="0"/>
          <w:strike w:val="0"/>
          <w:color w:val="000000"/>
          <w:u w:color="000000" w:val="none"/>
        </w:rPr>
        <w:fldChar w:fldCharType="begin"/>
      </w:r>
      <w:r>
        <w:rPr>
          <w:b w:val="0"/>
          <w:strike w:val="0"/>
          <w:color w:val="000000"/>
          <w:u w:color="000000" w:val="none"/>
        </w:rPr>
        <w:instrText>HYPERLINK "https://login.consultant.ru/link/?req=doc&amp;base=RLAW077&amp;n=240230&amp;dst=100014&amp;field=134&amp;date=26.02.2026"</w:instrText>
      </w:r>
      <w:r>
        <w:rPr>
          <w:b w:val="0"/>
          <w:strike w:val="0"/>
          <w:color w:val="000000"/>
          <w:u w:color="000000" w:val="none"/>
        </w:rPr>
        <w:fldChar w:fldCharType="separate"/>
      </w:r>
      <w:r>
        <w:rPr>
          <w:b w:val="0"/>
          <w:strike w:val="0"/>
          <w:color w:val="000000"/>
          <w:u w:color="000000" w:val="none"/>
        </w:rPr>
        <w:t>Порядке</w:t>
      </w:r>
      <w:r>
        <w:rPr>
          <w:b w:val="0"/>
          <w:strike w:val="0"/>
          <w:color w:val="000000"/>
          <w:u w:color="000000" w:val="none"/>
        </w:rPr>
        <w:fldChar w:fldCharType="end"/>
      </w:r>
      <w:r>
        <w:rPr>
          <w:b w:val="0"/>
        </w:rPr>
        <w:t xml:space="preserve"> </w:t>
      </w:r>
      <w:r>
        <w:rPr>
          <w:b w:val="0"/>
        </w:rPr>
        <w:t>предоставления из бюджета города Ставрополя субсидий субъектам малого и среднего предпринимательства, осуществляющим деятельность на территории города Ставрополя, на частичное возмещение затрат в приоритетных сферах деятельности</w:t>
      </w:r>
      <w:r>
        <w:t>:</w:t>
      </w:r>
    </w:p>
    <w:p w14:paraId="28000000">
      <w:pPr>
        <w:pStyle w:val="Style_3"/>
        <w:widowControl w:val="1"/>
        <w:ind w:firstLine="709" w:left="0"/>
        <w:jc w:val="both"/>
      </w:pPr>
      <w:r>
        <w:t>1) в</w:t>
      </w:r>
      <w:r>
        <w:rPr>
          <w:rFonts w:ascii="Times New Roman" w:hAnsi="Times New Roman"/>
          <w:sz w:val="28"/>
        </w:rPr>
        <w:t xml:space="preserve"> пункте 1 </w:t>
      </w:r>
      <w:r>
        <w:rPr>
          <w:rFonts w:ascii="Times New Roman" w:hAnsi="Times New Roman"/>
          <w:sz w:val="28"/>
        </w:rPr>
        <w:t xml:space="preserve">слова </w:t>
      </w:r>
      <w:r>
        <w:rPr>
          <w:b w:val="0"/>
        </w:rPr>
        <w:t xml:space="preserve">«постановлением администрации города Ставрополя от 10.11.2022 </w:t>
      </w:r>
      <w:r>
        <w:rPr>
          <w:b w:val="0"/>
        </w:rPr>
        <w:t>№ 2410» заменить словами «</w:t>
      </w:r>
      <w:r>
        <w:rPr>
          <w:rFonts w:ascii="Times New Roman" w:hAnsi="Times New Roman"/>
          <w:b w:val="0"/>
          <w:sz w:val="28"/>
        </w:rPr>
        <w:t xml:space="preserve">постановлением администрации города Ставрополя </w:t>
      </w:r>
      <w:r>
        <w:rPr>
          <w:rFonts w:ascii="Times New Roman" w:hAnsi="Times New Roman"/>
          <w:b w:val="0"/>
          <w:sz w:val="28"/>
        </w:rPr>
        <w:t>от 30.10.2025 № 2470»;</w:t>
      </w:r>
    </w:p>
    <w:p w14:paraId="29000000">
      <w:pPr>
        <w:pStyle w:val="Style_3"/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>
        <w:rPr>
          <w:rFonts w:ascii="Times New Roman" w:hAnsi="Times New Roman"/>
          <w:sz w:val="28"/>
        </w:rPr>
        <w:t>пункт 13 изложить в следующей редакции:</w:t>
      </w:r>
    </w:p>
    <w:p w14:paraId="2A000000">
      <w:pPr>
        <w:pStyle w:val="Style_3"/>
        <w:widowControl w:val="1"/>
        <w:ind w:firstLine="709" w:left="0"/>
        <w:jc w:val="both"/>
      </w:pPr>
      <w:r>
        <w:rPr>
          <w:rFonts w:ascii="Times New Roman" w:hAnsi="Times New Roman"/>
          <w:sz w:val="28"/>
        </w:rPr>
        <w:t xml:space="preserve">«13. </w:t>
      </w:r>
      <w:r>
        <w:rPr>
          <w:sz w:val="28"/>
        </w:rPr>
        <w:t xml:space="preserve">Для получения субсидии участники отбора формируют заявки </w:t>
      </w:r>
      <w:r>
        <w:rPr>
          <w:sz w:val="28"/>
        </w:rPr>
        <w:br/>
      </w:r>
      <w:r>
        <w:rPr>
          <w:sz w:val="28"/>
        </w:rPr>
        <w:t xml:space="preserve">в электронной форме посредством заполнения соответствующих экранных форм веб-интерфейса системы «Электронный бюджет» и представляют </w:t>
      </w:r>
      <w:r>
        <w:rPr>
          <w:sz w:val="28"/>
        </w:rPr>
        <w:br/>
      </w:r>
      <w:r>
        <w:rPr>
          <w:sz w:val="28"/>
        </w:rPr>
        <w:t xml:space="preserve">в систему «Электронный бюджет» электронные копии следующих документов (документов на бумажном носителе, преобразованных </w:t>
      </w:r>
      <w:r>
        <w:rPr>
          <w:sz w:val="28"/>
        </w:rPr>
        <w:br/>
      </w:r>
      <w:r>
        <w:rPr>
          <w:sz w:val="28"/>
        </w:rPr>
        <w:t>в электронную форму путем сканирования):</w:t>
      </w:r>
    </w:p>
    <w:p w14:paraId="2B000000">
      <w:pPr>
        <w:pStyle w:val="Style_4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документы, подтверждающие фактически произведенные затраты (кассовые чеки, товарные накладные, счета-фактуры, платежные накладные, договоры (при наличии);</w:t>
      </w:r>
    </w:p>
    <w:p w14:paraId="2C000000">
      <w:pPr>
        <w:pStyle w:val="Style_4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 справку о среднемесячном размере оплаты труда на одного работника в расчете за квартал, предшествующий дате подачи заявки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(при наличии работников);</w:t>
      </w:r>
    </w:p>
    <w:p w14:paraId="2D000000">
      <w:pPr>
        <w:widowControl w:val="0"/>
        <w:spacing w:after="20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справку об отсутствии просроченной задолженности по заработной плате перед работниками (при наличии работников);</w:t>
      </w:r>
    </w:p>
    <w:p w14:paraId="2E000000">
      <w:pPr>
        <w:widowControl w:val="0"/>
        <w:spacing w:after="20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 копии приказов о трудоустройстве, трудовых договоров, документов, подтверждающих выплату заработной платы и иных документов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 трудоустройстве (при наличии работников);</w:t>
      </w:r>
    </w:p>
    <w:p w14:paraId="2F000000">
      <w:pPr>
        <w:widowControl w:val="0"/>
        <w:spacing w:after="20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 копии документов, отражающих суммы налоговых и страховых платежей, уплаченных за два календарных года, предшествующих году подачи заявки;</w:t>
      </w:r>
    </w:p>
    <w:p w14:paraId="30000000">
      <w:pPr>
        <w:widowControl w:val="0"/>
        <w:spacing w:after="20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 справку-расчет размера субсидии;</w:t>
      </w:r>
    </w:p>
    <w:p w14:paraId="31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 презентацию, которая должна быть не более 7 минут (включительно) и содержать не менее 10 слайдов. Содержание презентации должно р</w:t>
      </w:r>
      <w:r>
        <w:rPr>
          <w:rFonts w:ascii="Times New Roman" w:hAnsi="Times New Roman"/>
          <w:sz w:val="28"/>
        </w:rPr>
        <w:t>аскрывать характеристики экономической, бюджетной эффективности, социальной значимости производимых товаров, работ, услуг за календарный год, предшествующий году даты подачи заявки;</w:t>
      </w:r>
    </w:p>
    <w:p w14:paraId="32000000">
      <w:pPr>
        <w:pStyle w:val="Style_4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справку (сведения) из налогового органа, подтверждающую,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что у участника отбора на едином налоговом счете отсутствует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или не превышает размер, определенный в </w:t>
      </w:r>
      <w:r>
        <w:rPr>
          <w:rFonts w:ascii="Times New Roman" w:hAnsi="Times New Roman"/>
          <w:sz w:val="28"/>
          <w:u w:color="000000" w:val="none"/>
        </w:rPr>
        <w:t xml:space="preserve">пункте 3 статьи 47 </w:t>
      </w:r>
      <w:r>
        <w:rPr>
          <w:rFonts w:ascii="Times New Roman" w:hAnsi="Times New Roman"/>
          <w:sz w:val="28"/>
        </w:rPr>
        <w:t xml:space="preserve">Налогового кодекса Российской Федерации, задолженность по уплате налогов, сборов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страховых взносов в бюджеты бюджетной системы Российской Федерации на дату не ранее чем за 30 календарных дней до даты подачи заявки.»;</w:t>
      </w:r>
    </w:p>
    <w:p w14:paraId="33000000">
      <w:pPr>
        <w:pStyle w:val="Style_4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дополнить пунктами 13.1 – 13.3 следующего содержания:</w:t>
      </w:r>
    </w:p>
    <w:p w14:paraId="34000000">
      <w:pPr>
        <w:pStyle w:val="Style_4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«13.1. </w:t>
      </w:r>
      <w:r>
        <w:rPr>
          <w:rFonts w:ascii="Times New Roman" w:hAnsi="Times New Roman"/>
          <w:sz w:val="28"/>
        </w:rPr>
        <w:t xml:space="preserve">Для участника отбора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юридического лица дополнительно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к документам, указанным в пункте 13 настоящего Порядка, предоставляются:</w:t>
      </w:r>
    </w:p>
    <w:p w14:paraId="35000000">
      <w:pPr>
        <w:pStyle w:val="Style_4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 копии учредительных документов и всех изменений к ним, заверенные подписью руководителя юридического лица и печатью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(при наличии);</w:t>
      </w:r>
    </w:p>
    <w:p w14:paraId="36000000">
      <w:pPr>
        <w:pStyle w:val="Style_4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документы, подтверждающие полномочия руководителя, заверенные подписью руководителя юридического лица и печатью (при наличии), или документы</w:t>
      </w:r>
      <w:r>
        <w:rPr>
          <w:rFonts w:ascii="Times New Roman" w:hAnsi="Times New Roman"/>
          <w:b w:val="0"/>
          <w:sz w:val="28"/>
        </w:rPr>
        <w:t xml:space="preserve">, удостоверяющие полномочия представителя участника отбора (представление указанного документа не требуется в случае, если от имени участника отбора обращается лицо, имеющее право действовать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без доверенности).</w:t>
      </w:r>
    </w:p>
    <w:p w14:paraId="37000000">
      <w:pPr>
        <w:pStyle w:val="Style_4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13.2. </w:t>
      </w:r>
      <w:r>
        <w:rPr>
          <w:rFonts w:ascii="Times New Roman" w:hAnsi="Times New Roman"/>
          <w:sz w:val="28"/>
        </w:rPr>
        <w:t xml:space="preserve">Для участника отбора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индивидуального предпринимателя дополнительно к документам, указанным в пункте 13 настоящего Порядка, предоставляется копия паспорта индивидуального предпринимателя (первого разворота и разворота с пропиской), заверенная подписью индивидуального предпринимателя и печатью (при наличии).</w:t>
      </w:r>
    </w:p>
    <w:p w14:paraId="38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13.3. </w:t>
      </w:r>
      <w:r>
        <w:rPr>
          <w:rFonts w:ascii="Times New Roman" w:hAnsi="Times New Roman"/>
          <w:sz w:val="28"/>
        </w:rPr>
        <w:t xml:space="preserve">Заявка должна содержать информацию об участнике отбора, документы, подтверждающие соответствие участника отбора требованиям, установленным настоящим Порядком, предлагаемые участником отбора значения результата предоставления субсидии и размер запрашиваемой субсидии, информацию по каждому критерию оценки заявки,  сведения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документы, подтверждающие информацию по каждому критерию оценки заявки,  определенные настоящим Порядком. </w:t>
      </w:r>
    </w:p>
    <w:p w14:paraId="39000000">
      <w:pPr>
        <w:pStyle w:val="Style_4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подготовке документов должны использоваться общепринятые обозначения и наименования в соответствии с требованиями действующего законодательства. Сведения, которые содержатся в заявках, не должны допускать двусмысленных толкований.</w:t>
      </w:r>
    </w:p>
    <w:p w14:paraId="3A000000">
      <w:pPr>
        <w:pStyle w:val="Style_4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14:paraId="3B000000">
      <w:pPr>
        <w:pStyle w:val="Style_4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 отбора несет ответственность за достоверность информации, содержащейся в представленных в соответствии с настоящим пунктом документах.</w:t>
      </w:r>
    </w:p>
    <w:p w14:paraId="3C000000">
      <w:pPr>
        <w:pStyle w:val="Style_4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До даты окончания приема заявок, указанной в объявлении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о проведении отбора, участник отбора вправе внести изменения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в представленную им заявку посредством формирования в электронной форме с использованием системы «Электронный бюджет» уведомления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об отзыве заявки и последующего формирования новой заявки в соответствии с пунктом 13 настоящего Порядка.</w:t>
      </w:r>
    </w:p>
    <w:p w14:paraId="3D000000">
      <w:pPr>
        <w:pStyle w:val="Style_4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Датой представления участником отбора заявки считается день подписания участником отбора заявки с присвоением ей регистрационного н</w:t>
      </w:r>
      <w:r>
        <w:rPr>
          <w:rFonts w:ascii="Times New Roman" w:hAnsi="Times New Roman"/>
          <w:sz w:val="28"/>
        </w:rPr>
        <w:t xml:space="preserve">омера в системе «Электронный бюджет».»; </w:t>
      </w:r>
    </w:p>
    <w:p w14:paraId="3E000000">
      <w:pPr>
        <w:widowControl w:val="0"/>
        <w:spacing w:after="20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</w:t>
      </w:r>
      <w:r>
        <w:rPr>
          <w:rFonts w:ascii="Times New Roman" w:hAnsi="Times New Roman"/>
          <w:sz w:val="28"/>
        </w:rPr>
        <w:t>пункт 16 изложить в следующей редакции:</w:t>
      </w:r>
    </w:p>
    <w:p w14:paraId="3F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«1</w:t>
      </w:r>
      <w:r>
        <w:rPr>
          <w:rFonts w:ascii="Times New Roman" w:hAnsi="Times New Roman"/>
          <w:sz w:val="28"/>
        </w:rPr>
        <w:t>6.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Для рассмотрения и оценки заявок Комитету и Координационному совету по развитию малого и среднего предпринимательства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при администрации города С</w:t>
      </w:r>
      <w:r>
        <w:rPr>
          <w:rFonts w:ascii="Times New Roman" w:hAnsi="Times New Roman"/>
          <w:sz w:val="28"/>
        </w:rPr>
        <w:t>таврополя, созданному правовым актом администрации города Ставрополя (далее – Координационный совет) открывается доступ в системе «Электронный бюджет» к заявкам.</w:t>
      </w:r>
    </w:p>
    <w:p w14:paraId="40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Формирование протокола вскрытия заявок на едином портале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и подписание его усиленной квалифицированной электронной подписью руководителя Комитета (уполномоченного им лица) в системе «Электронный бюджет» осуществляется автоматически. Указанный протокол подлежит размещению на едином портале не позднее 1 рабочего дня, следующего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за днем его подписания.»;</w:t>
      </w:r>
    </w:p>
    <w:p w14:paraId="41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5) </w:t>
      </w:r>
      <w:r>
        <w:rPr>
          <w:rFonts w:ascii="Times New Roman" w:hAnsi="Times New Roman"/>
          <w:sz w:val="28"/>
        </w:rPr>
        <w:t>пункт 17 изложить в следующей редакции:</w:t>
      </w:r>
    </w:p>
    <w:p w14:paraId="42000000">
      <w:pPr>
        <w:pStyle w:val="Style_4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«17.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 xml:space="preserve">Рассмотрение заявок осуществляется Комитетом в течение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25 рабочих дней с даты окончания приема заявок.</w:t>
      </w:r>
    </w:p>
    <w:p w14:paraId="43000000">
      <w:pPr>
        <w:pStyle w:val="Style_4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Комитет рассматривает заявки на предмет их соответствия установленным настоящим Порядком требованиям.»;</w:t>
      </w:r>
    </w:p>
    <w:p w14:paraId="44000000">
      <w:pPr>
        <w:pStyle w:val="Style_4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6) дополнить пунктом 17.1 следующего содержания:</w:t>
      </w:r>
    </w:p>
    <w:p w14:paraId="45000000">
      <w:pPr>
        <w:pStyle w:val="Style_4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«17.1.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 xml:space="preserve">Заявка признается надлежащей, если она соответствует требованиям, установленным объявлением о проведении отбора,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и отсутствуют основания для отклонения заявок, указанные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пункте 18 настоящего Порядка.</w:t>
      </w:r>
      <w:r>
        <w:rPr>
          <w:rFonts w:ascii="Times New Roman" w:hAnsi="Times New Roman"/>
          <w:sz w:val="28"/>
        </w:rPr>
        <w:t>»;</w:t>
      </w:r>
    </w:p>
    <w:p w14:paraId="46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7) </w:t>
      </w:r>
      <w:r>
        <w:rPr>
          <w:rFonts w:ascii="Times New Roman" w:hAnsi="Times New Roman"/>
          <w:sz w:val="28"/>
        </w:rPr>
        <w:t>в пункте 18:</w:t>
      </w:r>
    </w:p>
    <w:p w14:paraId="47000000">
      <w:pPr>
        <w:pStyle w:val="Style_4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подпункт 2 изложить в следующей редакции: </w:t>
      </w:r>
    </w:p>
    <w:p w14:paraId="48000000">
      <w:pPr>
        <w:pStyle w:val="Style_4"/>
        <w:widowControl w:val="0"/>
        <w:spacing w:after="0" w:before="0" w:line="240" w:lineRule="auto"/>
        <w:ind w:firstLine="709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«2) </w:t>
      </w:r>
      <w:r>
        <w:rPr>
          <w:rFonts w:ascii="Times New Roman" w:hAnsi="Times New Roman"/>
          <w:sz w:val="28"/>
        </w:rPr>
        <w:t>непредставление (представление не в полном объеме) документов, указанных в пунктах 13 - 13.2 настоящего Порядка;»;</w:t>
      </w:r>
    </w:p>
    <w:p w14:paraId="49000000">
      <w:pPr>
        <w:pStyle w:val="Style_4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подпункт 3 </w:t>
      </w:r>
      <w:r>
        <w:rPr>
          <w:rFonts w:ascii="Times New Roman" w:hAnsi="Times New Roman"/>
          <w:sz w:val="28"/>
        </w:rPr>
        <w:t xml:space="preserve">изложить в следующей редакции: </w:t>
      </w:r>
    </w:p>
    <w:p w14:paraId="4A000000">
      <w:pPr>
        <w:pStyle w:val="Style_4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«3)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несоответствие представленных участником отбора заявки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(или) документов требованиям, предусмотренным пунктом 13.3 настоящего </w:t>
      </w:r>
      <w:r>
        <w:rPr>
          <w:rFonts w:ascii="Times New Roman" w:hAnsi="Times New Roman"/>
          <w:sz w:val="28"/>
        </w:rPr>
        <w:t>Порядка;»;</w:t>
      </w:r>
    </w:p>
    <w:p w14:paraId="4B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8) </w:t>
      </w:r>
      <w:r>
        <w:rPr>
          <w:rFonts w:ascii="Times New Roman" w:hAnsi="Times New Roman"/>
          <w:sz w:val="28"/>
        </w:rPr>
        <w:t>пункт 19 изложить в следующей редакции:</w:t>
      </w:r>
    </w:p>
    <w:p w14:paraId="4C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«19. </w:t>
      </w:r>
      <w:r>
        <w:rPr>
          <w:rFonts w:ascii="Times New Roman" w:hAnsi="Times New Roman"/>
          <w:color w:val="000000"/>
          <w:sz w:val="28"/>
        </w:rPr>
        <w:t>Формирование протокола рассмотрения заявок на едином портале на основании результатов рассмотрения заявок и подписание его усиленной квалифицированной электронной подписью руководителя Комитета (уполномоченного им лица) в системе «Электронный бюджет» осуществляется автоматически. Указанный протокол подлежит размещению на едином портале не позднее 1 рабочего дня, следующего за днем его подписания.</w:t>
      </w:r>
      <w:r>
        <w:rPr>
          <w:rFonts w:ascii="Times New Roman" w:hAnsi="Times New Roman"/>
          <w:sz w:val="28"/>
        </w:rPr>
        <w:t>»;</w:t>
      </w:r>
    </w:p>
    <w:p w14:paraId="4D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9) </w:t>
      </w:r>
      <w:r>
        <w:rPr>
          <w:rFonts w:ascii="Times New Roman" w:hAnsi="Times New Roman"/>
          <w:sz w:val="28"/>
        </w:rPr>
        <w:t>пункт 20 изложить в следующей редакции:</w:t>
      </w:r>
    </w:p>
    <w:p w14:paraId="4E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«20. </w:t>
      </w:r>
      <w:r>
        <w:rPr>
          <w:rFonts w:ascii="Times New Roman" w:hAnsi="Times New Roman"/>
          <w:color w:themeColor="dark1" w:val="000000"/>
          <w:sz w:val="28"/>
        </w:rPr>
        <w:t xml:space="preserve">Координационный совет осуществляет оценку заявок, признанных надлежащими, по балльной шкале критериев оценки заявок (далее – балльная шкала), приведенной в приложении 2 к настоящему Порядку, в течение </w:t>
      </w:r>
      <w:r>
        <w:rPr>
          <w:rFonts w:ascii="Times New Roman" w:hAnsi="Times New Roman"/>
          <w:color w:themeColor="dark1" w:val="000000"/>
          <w:sz w:val="28"/>
        </w:rPr>
        <w:br/>
      </w:r>
      <w:r>
        <w:rPr>
          <w:rFonts w:ascii="Times New Roman" w:hAnsi="Times New Roman"/>
          <w:color w:themeColor="dark1" w:val="000000"/>
          <w:sz w:val="28"/>
        </w:rPr>
        <w:t xml:space="preserve">20 рабочих дней со дня формирования протокола рассмотрения заявок. </w:t>
      </w:r>
      <w:r>
        <w:rPr>
          <w:rFonts w:ascii="Times New Roman" w:hAnsi="Times New Roman"/>
          <w:sz w:val="28"/>
        </w:rPr>
        <w:t xml:space="preserve"> </w:t>
      </w:r>
    </w:p>
    <w:p w14:paraId="4F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>Положение о Координационном совете и его состав утверждаются правовым актом администрации города Ставрополя.»;</w:t>
      </w:r>
    </w:p>
    <w:p w14:paraId="50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>10) в пункте 21 цифры «40» заменить цифрами «60»;</w:t>
      </w:r>
    </w:p>
    <w:p w14:paraId="51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>11) в пункте 22:</w:t>
      </w:r>
    </w:p>
    <w:p w14:paraId="52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>а)</w:t>
      </w:r>
      <w:r>
        <w:rPr>
          <w:rFonts w:ascii="Times New Roman" w:hAnsi="Times New Roman"/>
          <w:color w:themeColor="dark1" w:val="000000"/>
          <w:spacing w:val="0"/>
          <w:sz w:val="28"/>
        </w:rPr>
        <w:t xml:space="preserve"> подпункт 1 изложить в следующей редакции: </w:t>
      </w:r>
    </w:p>
    <w:p w14:paraId="53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themeColor="dark1" w:val="000000"/>
          <w:spacing w:val="0"/>
          <w:sz w:val="28"/>
        </w:rPr>
      </w:pPr>
      <w:r>
        <w:rPr>
          <w:rFonts w:ascii="Times New Roman" w:hAnsi="Times New Roman"/>
          <w:color w:themeColor="dark1" w:val="000000"/>
          <w:spacing w:val="0"/>
          <w:sz w:val="28"/>
        </w:rPr>
        <w:t xml:space="preserve">«1) </w:t>
      </w:r>
      <w:r>
        <w:rPr>
          <w:rFonts w:ascii="Times New Roman" w:hAnsi="Times New Roman"/>
          <w:color w:themeColor="dark1" w:val="000000"/>
          <w:sz w:val="28"/>
        </w:rPr>
        <w:t>определяет итоговую оценку заявок путем сложения итоговых баллов каждого критерия оценки заявки, умноженных на соответствующее весовое значение критерия оценки заявки, в соответствии с балльной шкалой;»;</w:t>
      </w:r>
    </w:p>
    <w:p w14:paraId="54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>б)</w:t>
      </w:r>
      <w:r>
        <w:rPr>
          <w:rFonts w:ascii="Times New Roman" w:hAnsi="Times New Roman"/>
          <w:color w:themeColor="dark1" w:val="000000"/>
          <w:spacing w:val="0"/>
          <w:sz w:val="28"/>
        </w:rPr>
        <w:t> </w:t>
      </w:r>
      <w:r>
        <w:rPr>
          <w:rFonts w:ascii="Times New Roman" w:hAnsi="Times New Roman"/>
          <w:color w:themeColor="dark1" w:val="000000"/>
          <w:spacing w:val="0"/>
          <w:sz w:val="28"/>
        </w:rPr>
        <w:t xml:space="preserve">подпункт 2 изложить в следующей редакции: </w:t>
      </w:r>
    </w:p>
    <w:p w14:paraId="55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dark1" w:val="000000"/>
          <w:spacing w:val="0"/>
          <w:sz w:val="28"/>
        </w:rPr>
        <w:t xml:space="preserve">«2) </w:t>
      </w:r>
      <w:r>
        <w:rPr>
          <w:rFonts w:ascii="Times New Roman" w:hAnsi="Times New Roman"/>
          <w:color w:themeColor="dark1" w:val="000000"/>
          <w:sz w:val="28"/>
        </w:rPr>
        <w:t>составляет рейтинг заявок в порядке уменьшения количества набранных каждой заявкой баллов, присвоенных по каждому критерию оценки, указанному в балльной шкале (заявке, набравшей наибольшее количество баллов, присваивается первый рейтинговый номер).</w:t>
      </w:r>
    </w:p>
    <w:p w14:paraId="56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>В случае если нескольким заявкам присвоено одинаковое количество баллов, меньший рейтинговый номер присваивается заявке, которая поступила ранее других заявок;</w:t>
      </w:r>
      <w:r>
        <w:rPr>
          <w:rFonts w:ascii="Times New Roman" w:hAnsi="Times New Roman"/>
          <w:sz w:val="28"/>
        </w:rPr>
        <w:t>»;</w:t>
      </w:r>
    </w:p>
    <w:p w14:paraId="57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12) в пункте 24:</w:t>
      </w:r>
    </w:p>
    <w:p w14:paraId="58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в абзаце первом исключить слова «</w:t>
      </w:r>
      <w:r>
        <w:rPr>
          <w:rFonts w:ascii="Times New Roman" w:hAnsi="Times New Roman"/>
          <w:sz w:val="28"/>
        </w:rPr>
        <w:t>руководителя Комитета (уполномоченного им лица)»;</w:t>
      </w:r>
    </w:p>
    <w:p w14:paraId="59000000">
      <w:pPr>
        <w:pStyle w:val="Style_4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абзац десятый изложить в следующей редакции:</w:t>
      </w:r>
    </w:p>
    <w:p w14:paraId="5A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Протокол подведения итогов отбора не позднее 14-го календарного дня, следующего за днем определения победителя отбора, подлежит размещению в системе «Электронный бюджет» и на сайте.»;</w:t>
      </w:r>
    </w:p>
    <w:p w14:paraId="5B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13) в пункте 28:</w:t>
      </w:r>
    </w:p>
    <w:p w14:paraId="5C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подпункт 9 изложить в следующей редакции:</w:t>
      </w:r>
    </w:p>
    <w:p w14:paraId="5D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«9) </w:t>
      </w:r>
      <w:r>
        <w:rPr>
          <w:rFonts w:ascii="Times New Roman" w:hAnsi="Times New Roman"/>
          <w:sz w:val="28"/>
        </w:rPr>
        <w:t>запрет приобретения получателями субсидий - юридическими лицами, а также иными юридическими лицами, получающими средства на основании соглашений, заключенных с получателями субсидий, за счет 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результатов предоставления субсидии;»;</w:t>
      </w:r>
    </w:p>
    <w:p w14:paraId="5E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подпункт 10 </w:t>
      </w:r>
      <w:r>
        <w:rPr>
          <w:rFonts w:ascii="Times New Roman" w:hAnsi="Times New Roman"/>
          <w:sz w:val="28"/>
        </w:rPr>
        <w:t>изложить в следующей редакции:</w:t>
      </w:r>
    </w:p>
    <w:p w14:paraId="5F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«10) </w:t>
      </w:r>
      <w:r>
        <w:rPr>
          <w:rFonts w:ascii="Times New Roman" w:hAnsi="Times New Roman"/>
          <w:color w:val="000000"/>
          <w:sz w:val="28"/>
        </w:rPr>
        <w:t>согласие получателя субсидии на осуществление Комитетом и органами муниципального финансового контроля в соответствии со статьями 268.1 и 269.2 Бюджетного кодекса Российской Федерации проверок соблюдения порядка и условий предоставления субсидии, в том числе в части достижения результатов предоставления субсидии, а также обязательство по включению в договоры (соглашения) с лицами, являющимися поставщиками (подрядчиками, исполнителями) по договорам (соглашениям), заключаемым получателем субсидии в целях исполнения обязательств по соглашению, согласия на осуществление проверок поставщиков (подрядчиков, исполнителей) Комитетом и органами муниципального финансового контроля в соответствии со статьями 268.1 и 269.2 Бюджетного кодекса Российской Федерации;»;</w:t>
      </w:r>
    </w:p>
    <w:p w14:paraId="60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в) дополнить подпунктом 11 следующего содержания: </w:t>
      </w:r>
    </w:p>
    <w:p w14:paraId="61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«11) </w:t>
      </w:r>
      <w:r>
        <w:rPr>
          <w:rFonts w:ascii="Times New Roman" w:hAnsi="Times New Roman"/>
          <w:sz w:val="28"/>
        </w:rPr>
        <w:t>юридические адреса и банковские реквизиты получателя субсидии и Комитета.»;</w:t>
      </w:r>
    </w:p>
    <w:p w14:paraId="62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14) в подпункте 3 пункта 29 слова «набрал 39 и менее баллов» заменить словами «набрал 60 баллов»;</w:t>
      </w:r>
    </w:p>
    <w:p w14:paraId="63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15) дополнить пунктом 31.1 следующего содержания: </w:t>
      </w:r>
    </w:p>
    <w:p w14:paraId="64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«31.1. </w:t>
      </w:r>
      <w:r>
        <w:rPr>
          <w:rFonts w:ascii="Times New Roman" w:hAnsi="Times New Roman"/>
          <w:color w:val="000000"/>
          <w:sz w:val="28"/>
        </w:rPr>
        <w:t>В случае и порядке, установленными в соответствии с бюджетным законодательством Российской Федерации, осуществляется казначейское сопровождение средств субсидии.»;</w:t>
      </w:r>
    </w:p>
    <w:p w14:paraId="65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 Приложение 2 «Балльная шкала </w:t>
      </w:r>
      <w:r>
        <w:rPr>
          <w:rFonts w:ascii="Times New Roman" w:hAnsi="Times New Roman"/>
          <w:sz w:val="28"/>
        </w:rPr>
        <w:t>критериев оценки заявок на участие в отборе на предоставление субсидий на частичное возмещение затрат в приоритетных сферах деятельности» изложить в новой редакции согласно приложению.</w:t>
      </w:r>
    </w:p>
    <w:p w14:paraId="66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</w:p>
    <w:p w14:paraId="67000000">
      <w:pPr>
        <w:pStyle w:val="Style_4"/>
        <w:widowControl w:val="0"/>
        <w:spacing w:after="0" w:before="0" w:line="240" w:lineRule="auto"/>
        <w:ind w:firstLine="709" w:left="0" w:right="0"/>
        <w:contextualSpacing w:val="1"/>
        <w:jc w:val="both"/>
      </w:pPr>
    </w:p>
    <w:p w14:paraId="68000000">
      <w:pPr>
        <w:pStyle w:val="Style_4"/>
        <w:widowControl w:val="0"/>
        <w:spacing w:after="0" w:before="0" w:line="240" w:lineRule="auto"/>
        <w:ind w:firstLine="709" w:left="0" w:right="0"/>
        <w:contextualSpacing w:val="1"/>
        <w:jc w:val="both"/>
      </w:pPr>
    </w:p>
    <w:p w14:paraId="69000000">
      <w:pPr>
        <w:pStyle w:val="Style_3"/>
        <w:widowControl w:val="1"/>
        <w:ind w:firstLine="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</w:t>
      </w:r>
    </w:p>
    <w:p w14:paraId="6A000000">
      <w:pPr>
        <w:pStyle w:val="Style_3"/>
        <w:widowControl w:val="1"/>
        <w:ind w:firstLine="709" w:left="0"/>
        <w:jc w:val="both"/>
        <w:rPr>
          <w:b w:val="0"/>
          <w:sz w:val="28"/>
        </w:rPr>
      </w:pPr>
    </w:p>
    <w:p w14:paraId="6B000000">
      <w:pPr>
        <w:pStyle w:val="Style_3"/>
        <w:widowControl w:val="1"/>
        <w:ind w:firstLine="0"/>
        <w:jc w:val="center"/>
        <w:rPr>
          <w:rFonts w:ascii="Times New Roman" w:hAnsi="Times New Roman"/>
          <w:sz w:val="28"/>
        </w:rPr>
      </w:pPr>
    </w:p>
    <w:p w14:paraId="6C000000">
      <w:pPr>
        <w:pStyle w:val="Style_3"/>
        <w:widowControl w:val="1"/>
        <w:ind w:firstLine="0"/>
        <w:jc w:val="center"/>
        <w:rPr>
          <w:rFonts w:ascii="Times New Roman" w:hAnsi="Times New Roman"/>
          <w:sz w:val="28"/>
        </w:rPr>
      </w:pPr>
    </w:p>
    <w:p w14:paraId="6D000000">
      <w:pPr>
        <w:widowControl w:val="1"/>
        <w:spacing w:after="0" w:before="0" w:line="240" w:lineRule="auto"/>
        <w:ind w:firstLine="0" w:left="0" w:right="0"/>
        <w:jc w:val="right"/>
        <w:rPr>
          <w:sz w:val="28"/>
        </w:rPr>
      </w:pPr>
    </w:p>
    <w:p w14:paraId="6E000000">
      <w:pPr>
        <w:widowControl w:val="1"/>
        <w:spacing w:after="0" w:before="0" w:line="240" w:lineRule="auto"/>
        <w:ind w:firstLine="0" w:left="0" w:right="0"/>
        <w:jc w:val="right"/>
        <w:rPr>
          <w:sz w:val="28"/>
        </w:rPr>
      </w:pPr>
      <w:r>
        <w:br w:type="page"/>
      </w:r>
    </w:p>
    <w:tbl>
      <w:tblPr>
        <w:tblStyle w:val="Style_5"/>
        <w:tblW w:type="auto" w:w="0"/>
        <w:jc w:val="left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041"/>
        <w:gridCol w:w="4316"/>
      </w:tblGrid>
      <w:tr>
        <w:tc>
          <w:tcPr>
            <w:tcW w:type="dxa" w:w="504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</w:p>
        </w:tc>
        <w:tc>
          <w:tcPr>
            <w:tcW w:type="dxa" w:w="43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pStyle w:val="Style_4"/>
              <w:widowControl w:val="0"/>
              <w:spacing w:after="0" w:before="0" w:line="240" w:lineRule="exact"/>
              <w:ind w:firstLine="0" w:left="0" w:right="-10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Приложение 2</w:t>
            </w:r>
          </w:p>
          <w:p w14:paraId="71000000">
            <w:pPr>
              <w:pStyle w:val="Style_4"/>
              <w:widowControl w:val="0"/>
              <w:spacing w:after="0" w:before="0" w:line="240" w:lineRule="exact"/>
              <w:ind w:firstLine="0" w:left="0" w:right="-108"/>
              <w:jc w:val="left"/>
              <w:rPr>
                <w:rFonts w:ascii="Times New Roman" w:hAnsi="Times New Roman"/>
                <w:sz w:val="28"/>
              </w:rPr>
            </w:pPr>
          </w:p>
          <w:p w14:paraId="72000000">
            <w:pPr>
              <w:pStyle w:val="Style_4"/>
              <w:widowControl w:val="0"/>
              <w:spacing w:after="0" w:before="0" w:line="240" w:lineRule="exact"/>
              <w:ind w:firstLine="0" w:left="0" w:right="-108"/>
              <w:jc w:val="both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к Порядку предоставления 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из бюджета города Ставрополя субсидий субъектам малого 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>и среднего предпринимательства,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осуществляющим деятельность 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на территории города Ставрополя, на частичное возмещение затрат 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в приоритетных сферах деятельности    </w:t>
            </w:r>
          </w:p>
        </w:tc>
      </w:tr>
    </w:tbl>
    <w:p w14:paraId="73000000">
      <w:pPr>
        <w:pStyle w:val="Style_4"/>
        <w:widowControl w:val="0"/>
        <w:spacing w:line="240" w:lineRule="exact"/>
        <w:ind/>
        <w:jc w:val="center"/>
        <w:rPr>
          <w:rFonts w:ascii="Times New Roman" w:hAnsi="Times New Roman"/>
          <w:sz w:val="28"/>
        </w:rPr>
      </w:pPr>
    </w:p>
    <w:p w14:paraId="74000000">
      <w:pPr>
        <w:pStyle w:val="Style_4"/>
        <w:widowControl w:val="0"/>
        <w:spacing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БАЛЛЬНАЯ ШКАЛА</w:t>
      </w:r>
    </w:p>
    <w:p w14:paraId="75000000">
      <w:pPr>
        <w:pStyle w:val="Style_4"/>
        <w:widowControl w:val="0"/>
        <w:spacing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критериев оценки заявок на участие в отборе на предоставление субсидий на частичное возмещение затрат в приоритетных сферах деятельности</w:t>
      </w:r>
    </w:p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45"/>
        <w:gridCol w:w="2574"/>
        <w:gridCol w:w="4043"/>
        <w:gridCol w:w="1125"/>
        <w:gridCol w:w="1170"/>
      </w:tblGrid>
      <w:tr>
        <w:trPr>
          <w:trHeight w:hRule="atLeast" w:val="1363"/>
        </w:trPr>
        <w:tc>
          <w:tcPr>
            <w:tcW w:type="dxa" w:w="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п/п</w:t>
            </w:r>
          </w:p>
        </w:tc>
        <w:tc>
          <w:tcPr>
            <w:tcW w:type="dxa" w:w="2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Наименование критерия оценки заявки</w:t>
            </w:r>
          </w:p>
        </w:tc>
        <w:tc>
          <w:tcPr>
            <w:tcW w:type="dxa" w:w="404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Описание степени соответствия проекта критерию оценки заявки</w:t>
            </w:r>
          </w:p>
        </w:tc>
        <w:tc>
          <w:tcPr>
            <w:tcW w:type="dxa" w:w="1125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Итоговый балл оценки заявки</w:t>
            </w:r>
          </w:p>
        </w:tc>
        <w:tc>
          <w:tcPr>
            <w:tcW w:type="dxa" w:w="1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Весовое значение критерия оценки заявки</w:t>
            </w:r>
          </w:p>
        </w:tc>
      </w:tr>
      <w:tr>
        <w:trPr>
          <w:trHeight w:hRule="atLeast" w:val="216"/>
        </w:trPr>
        <w:tc>
          <w:tcPr>
            <w:tcW w:type="dxa" w:w="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pStyle w:val="Style_4"/>
              <w:widowControl w:val="0"/>
              <w:spacing w:after="0" w:before="0" w:line="240" w:lineRule="auto"/>
              <w:ind w:hanging="113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57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pStyle w:val="Style_4"/>
              <w:widowControl w:val="0"/>
              <w:spacing w:after="0" w:before="0" w:line="240" w:lineRule="auto"/>
              <w:ind w:hanging="113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</w:t>
            </w:r>
          </w:p>
        </w:tc>
        <w:tc>
          <w:tcPr>
            <w:tcW w:type="dxa" w:w="4043"/>
            <w:tcBorders>
              <w:top w:color="000000" w:sz="4" w:val="single"/>
              <w:left w:color="000000" w:sz="4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pStyle w:val="Style_4"/>
              <w:widowControl w:val="0"/>
              <w:spacing w:after="0" w:before="0" w:line="240" w:lineRule="auto"/>
              <w:ind w:hanging="113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</w:t>
            </w:r>
          </w:p>
        </w:tc>
        <w:tc>
          <w:tcPr>
            <w:tcW w:type="dxa" w:w="1125"/>
            <w:tcBorders>
              <w:top w:color="000000" w:sz="4" w:val="single"/>
              <w:left w:color="000000" w:sz="4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pStyle w:val="Style_4"/>
              <w:widowControl w:val="0"/>
              <w:spacing w:after="0" w:before="0" w:line="240" w:lineRule="auto"/>
              <w:ind w:hanging="113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</w:t>
            </w:r>
          </w:p>
        </w:tc>
        <w:tc>
          <w:tcPr>
            <w:tcW w:type="dxa" w:w="1170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pStyle w:val="Style_4"/>
              <w:widowControl w:val="0"/>
              <w:spacing w:after="0" w:before="0" w:line="240" w:lineRule="auto"/>
              <w:ind w:hanging="113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</w:t>
            </w:r>
          </w:p>
        </w:tc>
      </w:tr>
      <w:tr>
        <w:trPr>
          <w:trHeight w:hRule="atLeast" w:val="216"/>
        </w:trPr>
        <w:tc>
          <w:tcPr>
            <w:tcW w:type="dxa" w:w="9357"/>
            <w:gridSpan w:val="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Показатели оценки экономической эффективности приобретения основных и оборотных средств для производства товаров, выполнения работ, оказания услуг</w:t>
            </w:r>
          </w:p>
        </w:tc>
      </w:tr>
      <w:tr>
        <w:trPr>
          <w:trHeight w:hRule="atLeast" w:val="1803"/>
        </w:trPr>
        <w:tc>
          <w:tcPr>
            <w:tcW w:type="dxa" w:w="44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pStyle w:val="Style_4"/>
              <w:widowControl w:val="0"/>
              <w:spacing w:after="0" w:before="0" w:line="240" w:lineRule="auto"/>
              <w:ind w:hanging="113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1.</w:t>
            </w:r>
          </w:p>
        </w:tc>
        <w:tc>
          <w:tcPr>
            <w:tcW w:type="dxa" w:w="257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pStyle w:val="Style_4"/>
              <w:widowControl w:val="0"/>
              <w:spacing w:after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целевое назначение приобретения основных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и оборотных средств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для производства товаров, выполнения работ, оказания услуг субъектом малого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 среднего предпринимательства (далее – субъект МСП)</w:t>
            </w:r>
          </w:p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widowControl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производство импортозамещающей и инновационной продукции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в приоритетных сферах деятельности в соответствии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с перечнем отдельных видов экономической деятельности, приведенным в приложении 1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widowControl w:val="1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17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1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</w:t>
            </w:r>
          </w:p>
        </w:tc>
      </w:tr>
      <w:tr>
        <w:trPr>
          <w:trHeight w:hRule="atLeast" w:val="1425"/>
        </w:trPr>
        <w:tc>
          <w:tcPr>
            <w:tcW w:type="dxa" w:w="4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7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производство продукции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в приоритетных сферах деятельности в соответствии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с перечнем отдельных видов экономической деятельности, приведенным в приложении 1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widowControl w:val="1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11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1485"/>
        </w:trPr>
        <w:tc>
          <w:tcPr>
            <w:tcW w:type="dxa" w:w="4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7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widowControl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работ, оказание услуг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в приоритетных сферах деятельности в соответствии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с перечнем отдельных видов экономической деятельности, приведенным в приложении 1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widowControl w:val="1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11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360"/>
        </w:trPr>
        <w:tc>
          <w:tcPr>
            <w:tcW w:type="dxa" w:w="445"/>
            <w:vMerge w:val="restart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pStyle w:val="Style_4"/>
              <w:widowControl w:val="0"/>
              <w:spacing w:after="0" w:before="0" w:line="240" w:lineRule="auto"/>
              <w:ind w:hanging="113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2.</w:t>
            </w:r>
          </w:p>
        </w:tc>
        <w:tc>
          <w:tcPr>
            <w:tcW w:type="dxa" w:w="257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1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 использования возмещенных затрат</w:t>
            </w:r>
          </w:p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внедрение в производство новых видов продукции субъектом МСП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widowControl w:val="1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17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widowControl w:val="1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0,2</w:t>
            </w:r>
          </w:p>
        </w:tc>
      </w:tr>
      <w:tr>
        <w:trPr>
          <w:trHeight w:hRule="atLeast" w:val="360"/>
        </w:trPr>
        <w:tc>
          <w:tcPr>
            <w:tcW w:type="dxa" w:w="44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7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widowControl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объемов производства продукции субъектом МСП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1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11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837"/>
        </w:trPr>
        <w:tc>
          <w:tcPr>
            <w:tcW w:type="dxa" w:w="44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7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затрат по производству товаров, выполнению работ, оказанию услуг субъектом МСП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11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345"/>
        </w:trPr>
        <w:tc>
          <w:tcPr>
            <w:tcW w:type="dxa" w:w="44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7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widowControl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иное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widowControl w:val="1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1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360"/>
        </w:trPr>
        <w:tc>
          <w:tcPr>
            <w:tcW w:type="dxa" w:w="445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pStyle w:val="Style_4"/>
              <w:widowControl w:val="0"/>
              <w:spacing w:after="0" w:before="0" w:line="240" w:lineRule="auto"/>
              <w:ind w:hanging="113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5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widowControl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1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widowControl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rPr>
          <w:trHeight w:hRule="atLeast" w:val="779"/>
        </w:trPr>
        <w:tc>
          <w:tcPr>
            <w:tcW w:type="dxa" w:w="445"/>
            <w:vMerge w:val="restart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pStyle w:val="Style_4"/>
              <w:widowControl w:val="0"/>
              <w:spacing w:after="0" w:before="0" w:line="240" w:lineRule="auto"/>
              <w:ind w:hanging="113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257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widowControl w:val="1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увеличение выручки за два года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(или предшествующие периоды в случае если субъект МСП осуществляет деятельность менее двух лет), предшествующие году подачи заявки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на предоставление субсидии</w:t>
            </w:r>
          </w:p>
        </w:tc>
        <w:tc>
          <w:tcPr>
            <w:tcW w:type="dxa" w:w="404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более 15 процентов</w:t>
            </w:r>
          </w:p>
        </w:tc>
        <w:tc>
          <w:tcPr>
            <w:tcW w:type="dxa" w:w="112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17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</w:t>
            </w:r>
          </w:p>
        </w:tc>
      </w:tr>
      <w:tr>
        <w:trPr>
          <w:trHeight w:hRule="atLeast" w:val="200"/>
        </w:trPr>
        <w:tc>
          <w:tcPr>
            <w:tcW w:type="dxa" w:w="44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7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4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2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670"/>
        </w:trPr>
        <w:tc>
          <w:tcPr>
            <w:tcW w:type="dxa" w:w="44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7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widowControl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7 процентов (включительно) до 15 процентов (включительно)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widowControl w:val="1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11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763"/>
        </w:trPr>
        <w:tc>
          <w:tcPr>
            <w:tcW w:type="dxa" w:w="44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7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widowControl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7 процентов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1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11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823"/>
        </w:trPr>
        <w:tc>
          <w:tcPr>
            <w:tcW w:type="dxa" w:w="44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7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1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438"/>
        </w:trPr>
        <w:tc>
          <w:tcPr>
            <w:tcW w:type="dxa" w:w="9357"/>
            <w:gridSpan w:val="5"/>
            <w:tcBorders>
              <w:top w:color="000000" w:sz="4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 оценки социальной значимости приобретения основных и оборотных средств для производства товаров, выполнения работ, оказания услуг:</w:t>
            </w:r>
          </w:p>
        </w:tc>
      </w:tr>
      <w:tr>
        <w:trPr>
          <w:trHeight w:hRule="atLeast" w:val="1037"/>
        </w:trPr>
        <w:tc>
          <w:tcPr>
            <w:tcW w:type="dxa" w:w="445"/>
            <w:vMerge w:val="restart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pStyle w:val="Style_4"/>
              <w:widowControl w:val="0"/>
              <w:spacing w:after="200" w:before="0" w:line="240" w:lineRule="auto"/>
              <w:ind w:firstLine="0" w:left="-113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1.</w:t>
            </w:r>
          </w:p>
        </w:tc>
        <w:tc>
          <w:tcPr>
            <w:tcW w:type="dxa" w:w="257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pStyle w:val="Style_4"/>
              <w:widowControl w:val="0"/>
              <w:spacing w:after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уровень среднемесячной заработной платы работников, состоящих в трудовых отношениях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с субъектом МСП (при наличии работников), к величине установленного законодательством Российской Федерации минимального размера оплаты труда работников (далее – МРОТ) на дату подачи заявки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на предоставление субсидии:</w:t>
            </w:r>
          </w:p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1"/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превышает величину МРОТ более чем на 100 процентов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(включительно)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17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</w:t>
            </w:r>
          </w:p>
        </w:tc>
      </w:tr>
      <w:tr>
        <w:trPr>
          <w:trHeight w:hRule="atLeast" w:val="1912"/>
        </w:trPr>
        <w:tc>
          <w:tcPr>
            <w:tcW w:type="dxa" w:w="44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7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widowControl w:val="1"/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превышает величину МРОТ более чем на 50 процентов (включительно)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до 99 процентов (включительно)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11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1037"/>
        </w:trPr>
        <w:tc>
          <w:tcPr>
            <w:tcW w:type="dxa" w:w="44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7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widowControl w:val="1"/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 или превышает величину МРОТ менее чем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на 49 процентов (включительно)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11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1037"/>
        </w:trPr>
        <w:tc>
          <w:tcPr>
            <w:tcW w:type="dxa" w:w="44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7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1"/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ниже величины МРОТ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1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291"/>
        </w:trPr>
        <w:tc>
          <w:tcPr>
            <w:tcW w:type="dxa" w:w="44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pStyle w:val="Style_4"/>
              <w:widowControl w:val="0"/>
              <w:spacing w:after="200" w:before="0" w:line="240" w:lineRule="auto"/>
              <w:ind w:firstLine="0" w:left="-113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2.</w:t>
            </w:r>
          </w:p>
        </w:tc>
        <w:tc>
          <w:tcPr>
            <w:tcW w:type="dxa" w:w="257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новых рабочих мест за предшествующие 24 месяца</w:t>
            </w:r>
          </w:p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5 новых рабочих мест 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17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0,2</w:t>
            </w:r>
          </w:p>
        </w:tc>
      </w:tr>
      <w:tr>
        <w:trPr>
          <w:trHeight w:hRule="atLeast" w:val="360"/>
        </w:trPr>
        <w:tc>
          <w:tcPr>
            <w:tcW w:type="dxa" w:w="4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7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1 (включительно) до 5 (включительно) новых рабочих мест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11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360"/>
        </w:trPr>
        <w:tc>
          <w:tcPr>
            <w:tcW w:type="dxa" w:w="4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7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предусмотрено создание новых рабочих мест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1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63"/>
        </w:trPr>
        <w:tc>
          <w:tcPr>
            <w:tcW w:type="dxa" w:w="9357"/>
            <w:gridSpan w:val="5"/>
            <w:tcBorders>
              <w:top w:color="000000" w:sz="4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pStyle w:val="Style_4"/>
              <w:widowControl w:val="0"/>
              <w:spacing w:after="0" w:before="0" w:line="240" w:lineRule="auto"/>
              <w:ind w:firstLine="0" w:left="-113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 оценки бюджетной эффективности приобретения основных и оборотных средств для производства товаров, выполнения работ, оказания услуг</w:t>
            </w:r>
          </w:p>
        </w:tc>
      </w:tr>
      <w:tr>
        <w:trPr>
          <w:trHeight w:hRule="atLeast" w:val="360"/>
        </w:trPr>
        <w:tc>
          <w:tcPr>
            <w:tcW w:type="dxa" w:w="44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pStyle w:val="Style_4"/>
              <w:widowControl w:val="0"/>
              <w:spacing w:after="200" w:before="0" w:line="240" w:lineRule="auto"/>
              <w:ind w:firstLine="0" w:left="-113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257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pStyle w:val="Style_4"/>
              <w:widowControl w:val="0"/>
              <w:spacing w:after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бюджетная эффективность (соотношение объема налоговых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и страховых платежей, </w:t>
            </w:r>
          </w:p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50 процентов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widowControl w:val="1"/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17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widowControl w:val="1"/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0,2</w:t>
            </w:r>
          </w:p>
        </w:tc>
      </w:tr>
      <w:tr>
        <w:trPr>
          <w:trHeight w:hRule="atLeast" w:val="360"/>
        </w:trPr>
        <w:tc>
          <w:tcPr>
            <w:tcW w:type="dxa" w:w="4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7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 30 процентов (включительно)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до 50 процентов (включительно)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widowControl w:val="1"/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11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200"/>
        </w:trPr>
        <w:tc>
          <w:tcPr>
            <w:tcW w:type="dxa" w:w="4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7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 15 процентов (включительно)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до 30 процентов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widowControl w:val="1"/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11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461"/>
        </w:trPr>
        <w:tc>
          <w:tcPr>
            <w:tcW w:type="dxa" w:w="445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pStyle w:val="Style_4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5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pStyle w:val="Style_4"/>
              <w:widowControl w:val="0"/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1"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1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rPr>
          <w:trHeight w:hRule="atLeast" w:val="360"/>
        </w:trPr>
        <w:tc>
          <w:tcPr>
            <w:tcW w:type="dxa" w:w="445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pStyle w:val="Style_4"/>
              <w:widowControl w:val="0"/>
              <w:spacing w:after="200" w:before="0" w:line="240" w:lineRule="auto"/>
              <w:ind w:firstLine="0" w:left="-113" w:righ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5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pStyle w:val="Style_4"/>
              <w:widowControl w:val="0"/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уплаченных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за предшествующий календарный год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в бюджеты всех уровней, к объему запрашиваемой субсидии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(в процентах)</w:t>
            </w:r>
          </w:p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менее 15 процентов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1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0"/>
        </w:trPr>
        <w:tc>
          <w:tcPr>
            <w:tcW w:type="dxa" w:w="44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pStyle w:val="Style_4"/>
              <w:widowControl w:val="0"/>
              <w:spacing w:after="200" w:before="0" w:line="240" w:lineRule="auto"/>
              <w:ind w:firstLine="0" w:left="-113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257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темп роста суммы налогов, подлежащих зачислению в бюджеты всех уровней Российской Федерации, за 2 предыдущих календарных года</w:t>
            </w:r>
          </w:p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 и более процентов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17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</w:t>
            </w:r>
          </w:p>
        </w:tc>
      </w:tr>
      <w:tr>
        <w:trPr>
          <w:trHeight w:hRule="atLeast" w:val="200"/>
        </w:trPr>
        <w:tc>
          <w:tcPr>
            <w:tcW w:type="dxa" w:w="4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7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30 процентов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11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200"/>
        </w:trPr>
        <w:tc>
          <w:tcPr>
            <w:tcW w:type="dxa" w:w="4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7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1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D7000000">
      <w:pPr>
        <w:pStyle w:val="Style_4"/>
        <w:widowControl w:val="0"/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D8000000">
      <w:pPr>
        <w:pStyle w:val="Style_4"/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Максимально возможное количество баллов – 100.</w:t>
      </w:r>
    </w:p>
    <w:p w14:paraId="D9000000">
      <w:pPr>
        <w:widowControl w:val="1"/>
        <w:spacing w:after="0" w:before="0" w:line="240" w:lineRule="auto"/>
        <w:ind w:firstLine="0" w:left="0" w:right="0"/>
        <w:jc w:val="right"/>
        <w:rPr>
          <w:sz w:val="28"/>
        </w:rPr>
      </w:pPr>
    </w:p>
    <w:p w14:paraId="DA000000">
      <w:pPr>
        <w:widowControl w:val="1"/>
        <w:spacing w:after="0" w:before="0" w:line="240" w:lineRule="auto"/>
        <w:ind w:firstLine="0" w:left="0" w:right="0"/>
        <w:jc w:val="right"/>
        <w:rPr>
          <w:sz w:val="28"/>
        </w:rPr>
      </w:pPr>
    </w:p>
    <w:p w14:paraId="DB000000">
      <w:pPr>
        <w:widowControl w:val="1"/>
        <w:spacing w:after="0" w:before="0" w:line="240" w:lineRule="auto"/>
        <w:ind w:firstLine="0" w:left="0" w:right="0"/>
        <w:jc w:val="right"/>
        <w:rPr>
          <w:sz w:val="28"/>
        </w:rPr>
      </w:pPr>
    </w:p>
    <w:sectPr>
      <w:headerReference r:id="rId1" w:type="default"/>
      <w:pgSz w:h="16848" w:orient="portrait" w:w="11908"/>
      <w:pgMar w:bottom="1134" w:footer="301" w:gutter="0" w:header="567" w:left="1984" w:right="567" w:top="1417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t xml:space="preserve"> </w:t>
    </w: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  <w:widowControl w:val="1"/>
      <w:ind/>
      <w:jc w:val="center"/>
      <w:rPr>
        <w:rFonts w:ascii="Times New Roman" w:hAnsi="Times New Roman"/>
        <w:sz w:val="28"/>
      </w:rPr>
    </w:pPr>
  </w:p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200" w:line="276" w:lineRule="auto"/>
      <w:ind/>
    </w:pPr>
  </w:style>
  <w:style w:default="1" w:styleId="Style_4_ch" w:type="character">
    <w:name w:val="Normal"/>
    <w:link w:val="Style_4"/>
  </w:style>
  <w:style w:styleId="Style_6" w:type="paragraph">
    <w:name w:val="toc 2"/>
    <w:next w:val="Style_4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Содержимое врезки"/>
    <w:basedOn w:val="Style_4"/>
    <w:link w:val="Style_8_ch"/>
  </w:style>
  <w:style w:styleId="Style_8_ch" w:type="character">
    <w:name w:val="Содержимое врезки"/>
    <w:basedOn w:val="Style_4_ch"/>
    <w:link w:val="Style_8"/>
  </w:style>
  <w:style w:styleId="Style_9" w:type="paragraph">
    <w:name w:val="toc 4"/>
    <w:next w:val="Style_4"/>
    <w:link w:val="Style_9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4"/>
    <w:link w:val="Style_10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4"/>
    <w:link w:val="Style_11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4"/>
    <w:link w:val="Style_13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Footer"/>
    <w:basedOn w:val="Style_4"/>
    <w:link w:val="Style_14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4_ch" w:type="character">
    <w:name w:val="Footer"/>
    <w:basedOn w:val="Style_4_ch"/>
    <w:link w:val="Style_14"/>
  </w:style>
  <w:style w:styleId="Style_15" w:type="paragraph">
    <w:name w:val="List"/>
    <w:basedOn w:val="Style_16"/>
    <w:link w:val="Style_15_ch"/>
  </w:style>
  <w:style w:styleId="Style_15_ch" w:type="character">
    <w:name w:val="List"/>
    <w:basedOn w:val="Style_16_ch"/>
    <w:link w:val="Style_15"/>
  </w:style>
  <w:style w:styleId="Style_3" w:type="paragraph">
    <w:name w:val="No Spacing"/>
    <w:link w:val="Style_3_ch"/>
    <w:pPr>
      <w:widowControl w:val="1"/>
      <w:ind w:firstLine="709"/>
    </w:pPr>
    <w:rPr>
      <w:rFonts w:ascii="Times New Roman" w:hAnsi="Times New Roman"/>
      <w:sz w:val="28"/>
    </w:rPr>
  </w:style>
  <w:style w:styleId="Style_3_ch" w:type="character">
    <w:name w:val="No Spacing"/>
    <w:link w:val="Style_3"/>
    <w:rPr>
      <w:rFonts w:ascii="Times New Roman" w:hAnsi="Times New Roman"/>
      <w:sz w:val="28"/>
    </w:rPr>
  </w:style>
  <w:style w:styleId="Style_17" w:type="paragraph">
    <w:name w:val="Balloon Text"/>
    <w:basedOn w:val="Style_4"/>
    <w:link w:val="Style_17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7_ch" w:type="character">
    <w:name w:val="Balloon Text"/>
    <w:basedOn w:val="Style_4_ch"/>
    <w:link w:val="Style_17"/>
    <w:rPr>
      <w:rFonts w:ascii="Tahoma" w:hAnsi="Tahoma"/>
      <w:sz w:val="16"/>
    </w:rPr>
  </w:style>
  <w:style w:styleId="Style_18" w:type="paragraph">
    <w:name w:val="Колонтитул"/>
    <w:basedOn w:val="Style_4"/>
    <w:link w:val="Style_18_ch"/>
  </w:style>
  <w:style w:styleId="Style_18_ch" w:type="character">
    <w:name w:val="Колонтитул"/>
    <w:basedOn w:val="Style_4_ch"/>
    <w:link w:val="Style_18"/>
  </w:style>
  <w:style w:styleId="Style_19" w:type="paragraph">
    <w:name w:val="toc 3"/>
    <w:next w:val="Style_4"/>
    <w:link w:val="Style_1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20" w:type="paragraph">
    <w:name w:val="heading 5"/>
    <w:next w:val="Style_4"/>
    <w:link w:val="Style_2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next w:val="Style_4"/>
    <w:link w:val="Style_2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index heading"/>
    <w:basedOn w:val="Style_4"/>
    <w:link w:val="Style_22_ch"/>
  </w:style>
  <w:style w:styleId="Style_22_ch" w:type="character">
    <w:name w:val="index heading"/>
    <w:basedOn w:val="Style_4_ch"/>
    <w:link w:val="Style_22"/>
  </w:style>
  <w:style w:styleId="Style_23" w:type="paragraph">
    <w:name w:val="ConsPlusNormal"/>
    <w:link w:val="Style_23_ch"/>
    <w:rPr>
      <w:rFonts w:ascii="Arial" w:hAnsi="Arial"/>
      <w:sz w:val="20"/>
    </w:rPr>
  </w:style>
  <w:style w:styleId="Style_23_ch" w:type="character">
    <w:name w:val="ConsPlusNormal"/>
    <w:link w:val="Style_23"/>
    <w:rPr>
      <w:rFonts w:ascii="Arial" w:hAnsi="Arial"/>
      <w:sz w:val="20"/>
    </w:rPr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4"/>
    <w:link w:val="Style_2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Caption"/>
    <w:basedOn w:val="Style_4"/>
    <w:link w:val="Style_28_ch"/>
    <w:pPr>
      <w:widowControl w:val="1"/>
      <w:spacing w:after="120" w:before="120"/>
      <w:ind/>
    </w:pPr>
    <w:rPr>
      <w:i w:val="1"/>
      <w:sz w:val="24"/>
    </w:rPr>
  </w:style>
  <w:style w:styleId="Style_28_ch" w:type="character">
    <w:name w:val="Caption"/>
    <w:basedOn w:val="Style_4_ch"/>
    <w:link w:val="Style_28"/>
    <w:rPr>
      <w:i w:val="1"/>
      <w:sz w:val="24"/>
    </w:rPr>
  </w:style>
  <w:style w:styleId="Style_29" w:type="paragraph">
    <w:name w:val="toc 9"/>
    <w:next w:val="Style_4"/>
    <w:link w:val="Style_2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Заголовок"/>
    <w:basedOn w:val="Style_4"/>
    <w:next w:val="Style_16"/>
    <w:link w:val="Style_3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0_ch" w:type="character">
    <w:name w:val="Заголовок"/>
    <w:basedOn w:val="Style_4_ch"/>
    <w:link w:val="Style_30"/>
    <w:rPr>
      <w:rFonts w:ascii="Liberation Sans" w:hAnsi="Liberation Sans"/>
      <w:sz w:val="28"/>
    </w:rPr>
  </w:style>
  <w:style w:styleId="Style_31" w:type="paragraph">
    <w:name w:val="header"/>
    <w:basedOn w:val="Style_4"/>
    <w:link w:val="Style_3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1_ch" w:type="character">
    <w:name w:val="header"/>
    <w:basedOn w:val="Style_4_ch"/>
    <w:link w:val="Style_31"/>
  </w:style>
  <w:style w:styleId="Style_32" w:type="paragraph">
    <w:name w:val="List Paragraph"/>
    <w:basedOn w:val="Style_4"/>
    <w:link w:val="Style_32_ch"/>
    <w:pPr>
      <w:widowControl w:val="1"/>
      <w:ind w:left="720"/>
      <w:contextualSpacing w:val="1"/>
    </w:pPr>
  </w:style>
  <w:style w:styleId="Style_32_ch" w:type="character">
    <w:name w:val="List Paragraph"/>
    <w:basedOn w:val="Style_4_ch"/>
    <w:link w:val="Style_32"/>
  </w:style>
  <w:style w:styleId="Style_33" w:type="paragraph">
    <w:name w:val="toc 8"/>
    <w:next w:val="Style_4"/>
    <w:link w:val="Style_33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34" w:type="paragraph">
    <w:name w:val="footer"/>
    <w:basedOn w:val="Style_4"/>
    <w:link w:val="Style_34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4_ch" w:type="character">
    <w:name w:val="footer"/>
    <w:basedOn w:val="Style_4_ch"/>
    <w:link w:val="Style_34"/>
  </w:style>
  <w:style w:styleId="Style_16" w:type="paragraph">
    <w:name w:val="Body Text"/>
    <w:basedOn w:val="Style_4"/>
    <w:link w:val="Style_16_ch"/>
    <w:pPr>
      <w:widowControl w:val="1"/>
      <w:spacing w:after="140"/>
      <w:ind/>
    </w:pPr>
  </w:style>
  <w:style w:styleId="Style_16_ch" w:type="character">
    <w:name w:val="Body Text"/>
    <w:basedOn w:val="Style_4_ch"/>
    <w:link w:val="Style_16"/>
  </w:style>
  <w:style w:styleId="Style_35" w:type="paragraph">
    <w:name w:val="toc 5"/>
    <w:next w:val="Style_4"/>
    <w:link w:val="Style_3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5_ch" w:type="character">
    <w:name w:val="toc 5"/>
    <w:link w:val="Style_35"/>
    <w:rPr>
      <w:rFonts w:ascii="XO Thames" w:hAnsi="XO Thames"/>
      <w:sz w:val="28"/>
    </w:rPr>
  </w:style>
  <w:style w:styleId="Style_36" w:type="paragraph">
    <w:name w:val="Subtitle"/>
    <w:next w:val="Style_4"/>
    <w:link w:val="Style_3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line number"/>
    <w:basedOn w:val="Style_7"/>
    <w:link w:val="Style_37_ch"/>
  </w:style>
  <w:style w:styleId="Style_37_ch" w:type="character">
    <w:name w:val="line number"/>
    <w:basedOn w:val="Style_7_ch"/>
    <w:link w:val="Style_37"/>
  </w:style>
  <w:style w:styleId="Style_2" w:type="paragraph">
    <w:name w:val="Title"/>
    <w:basedOn w:val="Style_4"/>
    <w:link w:val="Style_2_ch"/>
    <w:uiPriority w:val="10"/>
    <w:qFormat/>
    <w:pPr>
      <w:widowControl w:val="1"/>
      <w:spacing w:after="0" w:line="240" w:lineRule="auto"/>
      <w:ind/>
      <w:jc w:val="center"/>
    </w:pPr>
    <w:rPr>
      <w:rFonts w:ascii="Times New Roman" w:hAnsi="Times New Roman"/>
      <w:spacing w:val="-20"/>
      <w:sz w:val="36"/>
    </w:rPr>
  </w:style>
  <w:style w:styleId="Style_2_ch" w:type="character">
    <w:name w:val="Title"/>
    <w:basedOn w:val="Style_4_ch"/>
    <w:link w:val="Style_2"/>
    <w:rPr>
      <w:rFonts w:ascii="Times New Roman" w:hAnsi="Times New Roman"/>
      <w:spacing w:val="-20"/>
      <w:sz w:val="36"/>
    </w:rPr>
  </w:style>
  <w:style w:styleId="Style_38" w:type="paragraph">
    <w:name w:val="heading 4"/>
    <w:next w:val="Style_4"/>
    <w:link w:val="Style_3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9" w:type="paragraph">
    <w:name w:val="heading 2"/>
    <w:next w:val="Style_4"/>
    <w:link w:val="Style_39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9_ch" w:type="character">
    <w:name w:val="heading 2"/>
    <w:link w:val="Style_39"/>
    <w:rPr>
      <w:rFonts w:ascii="XO Thames" w:hAnsi="XO Thames"/>
      <w:b w:val="1"/>
      <w:sz w:val="28"/>
    </w:rPr>
  </w:style>
  <w:style w:styleId="Style_40" w:type="table">
    <w:name w:val="Table Grid"/>
    <w:basedOn w:val="Style_5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2026-02-26T11:48:04Z</dcterms:created>
  <dcterms:modified xsi:type="dcterms:W3CDTF">2026-02-27T12:02:08Z</dcterms:modified>
</cp:coreProperties>
</file>