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widowControl w:val="0"/>
        <w:tabs>
          <w:tab w:leader="none" w:pos="4860" w:val="left"/>
        </w:tabs>
        <w:spacing w:line="240" w:lineRule="exact"/>
        <w:ind/>
        <w:rPr>
          <w:sz w:val="28"/>
        </w:rPr>
      </w:pPr>
      <w:r>
        <w:t xml:space="preserve">                                                                                                </w:t>
      </w:r>
      <w:r>
        <w:rPr>
          <w:sz w:val="28"/>
        </w:rPr>
        <w:t>Приложение 1</w:t>
      </w:r>
    </w:p>
    <w:p w14:paraId="04000000">
      <w:pPr>
        <w:widowControl w:val="0"/>
        <w:tabs>
          <w:tab w:leader="none" w:pos="5040" w:val="left"/>
        </w:tabs>
        <w:spacing w:line="240" w:lineRule="exact"/>
        <w:ind/>
        <w:rPr>
          <w:sz w:val="28"/>
        </w:rPr>
      </w:pPr>
      <w:r>
        <w:rPr>
          <w:sz w:val="28"/>
        </w:rPr>
        <w:tab/>
      </w:r>
    </w:p>
    <w:p w14:paraId="05000000">
      <w:pPr>
        <w:widowControl w:val="0"/>
        <w:tabs>
          <w:tab w:leader="none" w:pos="5040" w:val="left"/>
        </w:tabs>
        <w:spacing w:line="240" w:lineRule="exact"/>
        <w:ind w:left="5760"/>
        <w:rPr>
          <w:sz w:val="28"/>
        </w:rPr>
      </w:pPr>
      <w:r>
        <w:rPr>
          <w:sz w:val="28"/>
        </w:rPr>
        <w:t>к распоряжению комитета по      управлению муниципальным имуществом города Ставрополя</w:t>
      </w:r>
    </w:p>
    <w:p w14:paraId="06000000">
      <w:pPr>
        <w:widowControl w:val="0"/>
        <w:tabs>
          <w:tab w:leader="none" w:pos="5040" w:val="left"/>
        </w:tabs>
        <w:spacing w:line="240" w:lineRule="exact"/>
        <w:ind w:left="5760"/>
        <w:rPr>
          <w:sz w:val="28"/>
        </w:rPr>
      </w:pPr>
    </w:p>
    <w:p w14:paraId="07000000">
      <w:pPr>
        <w:widowControl w:val="0"/>
        <w:tabs>
          <w:tab w:leader="none" w:pos="5760" w:val="left"/>
        </w:tabs>
        <w:spacing w:before="16" w:line="240" w:lineRule="exact"/>
        <w:ind w:firstLine="264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от19.02.2025 </w:t>
      </w:r>
      <w:r>
        <w:rPr>
          <w:sz w:val="28"/>
        </w:rPr>
        <w:t xml:space="preserve">г. </w:t>
      </w:r>
      <w:r>
        <w:rPr>
          <w:color w:val="FFFFFF"/>
          <w:sz w:val="28"/>
        </w:rPr>
        <w:t xml:space="preserve"> </w:t>
      </w:r>
      <w:r>
        <w:rPr>
          <w:sz w:val="28"/>
        </w:rPr>
        <w:t>№ 71</w:t>
      </w:r>
    </w:p>
    <w:p w14:paraId="08000000"/>
    <w:p w14:paraId="09000000">
      <w:pPr>
        <w:pStyle w:val="Style_3"/>
        <w:rPr>
          <w:b w:val="0"/>
          <w:sz w:val="28"/>
        </w:rPr>
      </w:pPr>
      <w:r>
        <w:rPr>
          <w:b w:val="0"/>
          <w:sz w:val="28"/>
        </w:rPr>
        <w:t>ИЗВЕЩЕНИЕ О ПРОВЕДЕНИИ АУКЦИОНА</w:t>
      </w:r>
    </w:p>
    <w:p w14:paraId="0A000000">
      <w:pPr>
        <w:rPr>
          <w:sz w:val="20"/>
        </w:rPr>
      </w:pPr>
    </w:p>
    <w:p w14:paraId="0B000000">
      <w:pPr>
        <w:widowControl w:val="1"/>
        <w:ind w:firstLine="708"/>
        <w:jc w:val="both"/>
        <w:rPr>
          <w:sz w:val="28"/>
        </w:rPr>
      </w:pPr>
      <w:r>
        <w:rPr>
          <w:sz w:val="28"/>
        </w:rPr>
        <w:t>Комитет по управлению муниципальным имуществом города Ставрополя в соответствии с Федеральным законом от 26 июня 2006 г.                     № 135-ФЗ «О защите конкуренции», Приказом Федеральной антимонопольной службы от 21 марта 2023 г. № 147/23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сообщает о проведении аукциона на право заключения договоров аренды недвижимого имущества, находящегося в муниципальной собственности города Ставрополя, в электронной форме (далее по тексту – аукцион).</w:t>
      </w:r>
    </w:p>
    <w:p w14:paraId="0C000000">
      <w:pPr>
        <w:widowControl w:val="1"/>
        <w:ind w:firstLine="708" w:right="-53"/>
        <w:jc w:val="both"/>
        <w:rPr>
          <w:sz w:val="28"/>
        </w:rPr>
      </w:pPr>
      <w:r>
        <w:rPr>
          <w:sz w:val="28"/>
        </w:rPr>
        <w:t>Организатор аукциона и арендодатель: полное наименование - комитет по управлению муниципальным имуществом города Ставрополя; сокращенное наименование - КУМИ г. Ставрополя (далее – организатор аукциона).</w:t>
      </w:r>
    </w:p>
    <w:p w14:paraId="0D00000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Юридический и почтовый адрес организатора аукциона: 355006, Российская Федерация, Ставропольский край, город Ставрополь, улица </w:t>
      </w:r>
      <w:r>
        <w:rPr>
          <w:sz w:val="28"/>
        </w:rPr>
        <w:t>Коста</w:t>
      </w:r>
      <w:r>
        <w:rPr>
          <w:sz w:val="28"/>
        </w:rPr>
        <w:t xml:space="preserve"> Хетагурова, 8.</w:t>
      </w:r>
    </w:p>
    <w:p w14:paraId="0E00000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Фактический адрес организатора аукциона: г. Ставрополь, 355006, пр. К. </w:t>
      </w:r>
      <w:r>
        <w:rPr>
          <w:sz w:val="28"/>
        </w:rPr>
        <w:t>Маркса,  д.</w:t>
      </w:r>
      <w:r>
        <w:rPr>
          <w:sz w:val="28"/>
        </w:rPr>
        <w:t xml:space="preserve"> 90, 92</w:t>
      </w:r>
    </w:p>
    <w:p w14:paraId="0F000000">
      <w:pPr>
        <w:widowControl w:val="1"/>
        <w:ind w:firstLine="720" w:right="-53"/>
        <w:jc w:val="both"/>
        <w:rPr>
          <w:sz w:val="28"/>
        </w:rPr>
      </w:pPr>
      <w:r>
        <w:rPr>
          <w:sz w:val="28"/>
        </w:rPr>
        <w:t>Электронный адрес организаторам аукциона: kumi@stavadm.ru.</w:t>
      </w:r>
    </w:p>
    <w:p w14:paraId="10000000">
      <w:pPr>
        <w:widowControl w:val="1"/>
        <w:ind w:firstLine="720" w:right="-53"/>
        <w:jc w:val="both"/>
        <w:rPr>
          <w:sz w:val="28"/>
        </w:rPr>
      </w:pPr>
      <w:r>
        <w:rPr>
          <w:sz w:val="28"/>
        </w:rPr>
        <w:t xml:space="preserve">Контактный телефон организатора аукциона: (8-8652) 74-75-84                  </w:t>
      </w:r>
      <w:r>
        <w:rPr>
          <w:sz w:val="28"/>
        </w:rPr>
        <w:t xml:space="preserve">   (</w:t>
      </w:r>
      <w:r>
        <w:rPr>
          <w:sz w:val="28"/>
        </w:rPr>
        <w:t>доб. 2302), (8-8652) 27-01-08.</w:t>
      </w:r>
    </w:p>
    <w:p w14:paraId="11000000">
      <w:pPr>
        <w:pStyle w:val="Style_4"/>
        <w:widowControl w:val="1"/>
        <w:spacing w:after="0"/>
        <w:ind w:firstLine="720"/>
        <w:jc w:val="both"/>
      </w:pPr>
      <w:r>
        <w:t>Форма проведения торгов: электронный аукцион, открытый по составу участников и по форме подачи предложений о цене договора (цене лота) в размере ежегодного платежа за право пользования муниципальным имуществом города Ставрополя.</w:t>
      </w:r>
    </w:p>
    <w:p w14:paraId="12000000">
      <w:pPr>
        <w:widowControl w:val="1"/>
        <w:ind w:firstLine="720"/>
        <w:jc w:val="both"/>
        <w:rPr>
          <w:b w:val="1"/>
          <w:spacing w:val="-4"/>
          <w:sz w:val="28"/>
        </w:rPr>
      </w:pPr>
      <w:r>
        <w:rPr>
          <w:spacing w:val="-4"/>
          <w:sz w:val="28"/>
        </w:rPr>
        <w:t xml:space="preserve">Дата и время проведения аукциона: </w:t>
      </w:r>
      <w:r>
        <w:rPr>
          <w:b w:val="1"/>
          <w:spacing w:val="-4"/>
          <w:sz w:val="28"/>
        </w:rPr>
        <w:t xml:space="preserve">10 час. 00 мин. </w:t>
      </w:r>
      <w:r>
        <w:rPr>
          <w:b w:val="1"/>
          <w:spacing w:val="-4"/>
          <w:sz w:val="28"/>
        </w:rPr>
        <w:t>27</w:t>
      </w:r>
      <w:r>
        <w:rPr>
          <w:b w:val="1"/>
          <w:spacing w:val="-4"/>
          <w:sz w:val="28"/>
        </w:rPr>
        <w:t xml:space="preserve"> </w:t>
      </w:r>
      <w:r>
        <w:rPr>
          <w:b w:val="1"/>
          <w:spacing w:val="-4"/>
          <w:sz w:val="28"/>
        </w:rPr>
        <w:t>марта</w:t>
      </w:r>
      <w:r>
        <w:rPr>
          <w:b w:val="1"/>
          <w:spacing w:val="-4"/>
          <w:sz w:val="28"/>
        </w:rPr>
        <w:t> 202</w:t>
      </w:r>
      <w:r>
        <w:rPr>
          <w:b w:val="1"/>
          <w:spacing w:val="-4"/>
          <w:sz w:val="28"/>
        </w:rPr>
        <w:t>5</w:t>
      </w:r>
      <w:r>
        <w:rPr>
          <w:b w:val="1"/>
          <w:spacing w:val="-4"/>
          <w:sz w:val="28"/>
        </w:rPr>
        <w:t xml:space="preserve"> года.</w:t>
      </w:r>
    </w:p>
    <w:p w14:paraId="13000000">
      <w:pPr>
        <w:widowControl w:val="1"/>
        <w:ind w:firstLine="720"/>
        <w:jc w:val="both"/>
        <w:rPr>
          <w:sz w:val="28"/>
        </w:rPr>
      </w:pPr>
      <w:r>
        <w:rPr>
          <w:sz w:val="28"/>
        </w:rPr>
        <w:t xml:space="preserve">Место проведения аукциона: электронная </w:t>
      </w:r>
      <w:r>
        <w:rPr>
          <w:sz w:val="28"/>
          <w:highlight w:val="white"/>
        </w:rPr>
        <w:t>торговой площадка  «</w:t>
      </w:r>
      <w:r>
        <w:rPr>
          <w:sz w:val="28"/>
          <w:highlight w:val="white"/>
        </w:rPr>
        <w:t>Росэлторг</w:t>
      </w:r>
      <w:r>
        <w:rPr>
          <w:sz w:val="28"/>
          <w:highlight w:val="white"/>
        </w:rPr>
        <w:t>» («Единая электронная торговая площадка») по адресу</w:t>
      </w:r>
      <w:r>
        <w:rPr>
          <w:sz w:val="28"/>
        </w:rPr>
        <w:t xml:space="preserve"> в информационно-телекоммуникационной сети «Интернет»: </w:t>
      </w:r>
      <w:r>
        <w:rPr>
          <w:sz w:val="28"/>
        </w:rPr>
        <w:fldChar w:fldCharType="begin"/>
      </w:r>
      <w:r>
        <w:rPr>
          <w:sz w:val="28"/>
        </w:rPr>
        <w:instrText>HYPERLINK "https://178fz.roseltorg.ru"</w:instrText>
      </w:r>
      <w:r>
        <w:rPr>
          <w:sz w:val="28"/>
        </w:rPr>
        <w:fldChar w:fldCharType="separate"/>
      </w:r>
      <w:r>
        <w:rPr>
          <w:sz w:val="28"/>
        </w:rPr>
        <w:t>https://178fz.roseltorg.ru</w:t>
      </w:r>
      <w:r>
        <w:rPr>
          <w:sz w:val="28"/>
        </w:rPr>
        <w:fldChar w:fldCharType="end"/>
      </w:r>
      <w:r>
        <w:rPr>
          <w:sz w:val="28"/>
        </w:rPr>
        <w:t>.</w:t>
      </w:r>
    </w:p>
    <w:p w14:paraId="14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 xml:space="preserve">Оператор электронной площадки (далее – оператор электронной площадки): Акционерное общество «Единая электронная торговая площадка» </w:t>
      </w:r>
      <w:r>
        <w:rPr>
          <w:sz w:val="28"/>
        </w:rPr>
        <w:t xml:space="preserve">(далее - АО «ЕЭТП»), www.roseltorg.ru, адрес местонахождения: 115114, г. Москва, ул. </w:t>
      </w:r>
      <w:r>
        <w:rPr>
          <w:sz w:val="28"/>
        </w:rPr>
        <w:t>Кожевническая</w:t>
      </w:r>
      <w:r>
        <w:rPr>
          <w:sz w:val="28"/>
        </w:rPr>
        <w:t>, д. 14, стр. 5, тел.: 8 (495) 150-20-20, факс 8 (495) 730-59-07.</w:t>
      </w:r>
    </w:p>
    <w:p w14:paraId="15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 xml:space="preserve">Прием заявок и прилагаемых к ним документов </w:t>
      </w:r>
      <w:r>
        <w:rPr>
          <w:sz w:val="28"/>
        </w:rPr>
        <w:t xml:space="preserve">осуществляется:   </w:t>
      </w:r>
      <w:r>
        <w:rPr>
          <w:sz w:val="28"/>
        </w:rPr>
        <w:t xml:space="preserve">                     </w:t>
      </w:r>
      <w:r>
        <w:rPr>
          <w:b w:val="1"/>
          <w:sz w:val="28"/>
        </w:rPr>
        <w:t>с 09 час. 00 мин. 21</w:t>
      </w:r>
      <w:r>
        <w:rPr>
          <w:b w:val="1"/>
          <w:sz w:val="28"/>
        </w:rPr>
        <w:t xml:space="preserve"> февраля </w:t>
      </w:r>
      <w:r>
        <w:rPr>
          <w:b w:val="1"/>
          <w:sz w:val="28"/>
        </w:rPr>
        <w:t>202</w:t>
      </w:r>
      <w:r>
        <w:rPr>
          <w:b w:val="1"/>
          <w:sz w:val="28"/>
        </w:rPr>
        <w:t>5</w:t>
      </w:r>
      <w:r>
        <w:rPr>
          <w:b w:val="1"/>
          <w:sz w:val="28"/>
        </w:rPr>
        <w:t xml:space="preserve"> года </w:t>
      </w:r>
      <w:r>
        <w:rPr>
          <w:sz w:val="28"/>
        </w:rPr>
        <w:t>на</w:t>
      </w:r>
      <w:r>
        <w:rPr>
          <w:b w:val="1"/>
          <w:sz w:val="28"/>
        </w:rPr>
        <w:t xml:space="preserve"> </w:t>
      </w:r>
      <w:r>
        <w:rPr>
          <w:sz w:val="28"/>
        </w:rPr>
        <w:t>электронной торговой площадке «</w:t>
      </w:r>
      <w:r>
        <w:rPr>
          <w:sz w:val="28"/>
        </w:rPr>
        <w:t>Росэлторг</w:t>
      </w:r>
      <w:r>
        <w:rPr>
          <w:sz w:val="28"/>
        </w:rPr>
        <w:t>»</w:t>
      </w:r>
      <w:r>
        <w:rPr>
          <w:sz w:val="28"/>
          <w:highlight w:val="white"/>
        </w:rPr>
        <w:t xml:space="preserve"> («Единая электронная торговая площадка») по адресу</w:t>
      </w:r>
      <w:r>
        <w:rPr>
          <w:sz w:val="28"/>
        </w:rPr>
        <w:t xml:space="preserve"> в информационно-телекоммуникационной сети «Интернет»: </w:t>
      </w:r>
      <w:r>
        <w:rPr>
          <w:sz w:val="28"/>
        </w:rPr>
        <w:fldChar w:fldCharType="begin"/>
      </w:r>
      <w:r>
        <w:rPr>
          <w:sz w:val="28"/>
        </w:rPr>
        <w:instrText>HYPERLINK "https://178fz.roseltorg.ru"</w:instrText>
      </w:r>
      <w:r>
        <w:rPr>
          <w:sz w:val="28"/>
        </w:rPr>
        <w:fldChar w:fldCharType="separate"/>
      </w:r>
      <w:r>
        <w:rPr>
          <w:sz w:val="28"/>
        </w:rPr>
        <w:t>https://178fz.roseltorg.ru.</w:t>
      </w:r>
      <w:r>
        <w:rPr>
          <w:sz w:val="28"/>
        </w:rPr>
        <w:fldChar w:fldCharType="end"/>
      </w:r>
    </w:p>
    <w:p w14:paraId="16000000">
      <w:pPr>
        <w:widowControl w:val="1"/>
        <w:ind w:firstLine="709"/>
        <w:jc w:val="both"/>
        <w:rPr>
          <w:b w:val="1"/>
          <w:spacing w:val="-20"/>
          <w:sz w:val="28"/>
        </w:rPr>
      </w:pPr>
      <w:r>
        <w:rPr>
          <w:sz w:val="28"/>
        </w:rPr>
        <w:t>Дата     и     время    окончания     приема    заявок: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18</w:t>
      </w:r>
      <w:r>
        <w:rPr>
          <w:b w:val="1"/>
          <w:sz w:val="28"/>
        </w:rPr>
        <w:t xml:space="preserve"> час.    00    мин.   </w:t>
      </w:r>
      <w:r>
        <w:rPr>
          <w:b w:val="1"/>
          <w:sz w:val="28"/>
        </w:rPr>
        <w:t>24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марта 2025</w:t>
      </w:r>
      <w:r>
        <w:rPr>
          <w:b w:val="1"/>
          <w:sz w:val="28"/>
        </w:rPr>
        <w:t xml:space="preserve"> года.</w:t>
      </w:r>
    </w:p>
    <w:p w14:paraId="17000000">
      <w:pPr>
        <w:widowControl w:val="1"/>
        <w:ind w:firstLine="709"/>
        <w:jc w:val="both"/>
        <w:rPr>
          <w:b w:val="1"/>
          <w:spacing w:val="-8"/>
          <w:sz w:val="28"/>
        </w:rPr>
      </w:pPr>
      <w:r>
        <w:rPr>
          <w:spacing w:val="-8"/>
          <w:sz w:val="28"/>
        </w:rPr>
        <w:t xml:space="preserve">Дата      и      время        начала     рассмотрения       заявок: </w:t>
      </w:r>
      <w:r>
        <w:rPr>
          <w:b w:val="1"/>
          <w:spacing w:val="-8"/>
          <w:sz w:val="28"/>
        </w:rPr>
        <w:t xml:space="preserve">12 час. 00 мин.               </w:t>
      </w:r>
      <w:r>
        <w:rPr>
          <w:b w:val="1"/>
          <w:spacing w:val="-8"/>
          <w:sz w:val="28"/>
        </w:rPr>
        <w:t>26</w:t>
      </w:r>
      <w:r>
        <w:rPr>
          <w:b w:val="1"/>
          <w:spacing w:val="-8"/>
          <w:sz w:val="28"/>
        </w:rPr>
        <w:t xml:space="preserve"> </w:t>
      </w:r>
      <w:r>
        <w:rPr>
          <w:b w:val="1"/>
          <w:spacing w:val="-8"/>
          <w:sz w:val="28"/>
        </w:rPr>
        <w:t>марта</w:t>
      </w:r>
      <w:r>
        <w:rPr>
          <w:b w:val="1"/>
          <w:spacing w:val="-8"/>
          <w:sz w:val="28"/>
        </w:rPr>
        <w:t xml:space="preserve"> 202</w:t>
      </w:r>
      <w:r>
        <w:rPr>
          <w:b w:val="1"/>
          <w:spacing w:val="-8"/>
          <w:sz w:val="28"/>
        </w:rPr>
        <w:t>5</w:t>
      </w:r>
      <w:r>
        <w:rPr>
          <w:b w:val="1"/>
          <w:spacing w:val="-8"/>
          <w:sz w:val="28"/>
        </w:rPr>
        <w:t xml:space="preserve"> года. </w:t>
      </w:r>
    </w:p>
    <w:p w14:paraId="18000000">
      <w:pPr>
        <w:widowControl w:val="1"/>
        <w:ind w:firstLine="709"/>
        <w:jc w:val="both"/>
        <w:rPr>
          <w:b w:val="1"/>
          <w:sz w:val="28"/>
        </w:rPr>
      </w:pPr>
      <w:r>
        <w:rPr>
          <w:sz w:val="28"/>
        </w:rPr>
        <w:t xml:space="preserve">Дата и время окончания рассмотрения заявок: </w:t>
      </w:r>
      <w:r>
        <w:rPr>
          <w:b w:val="1"/>
          <w:sz w:val="28"/>
        </w:rPr>
        <w:t xml:space="preserve">17 час. 00 мин.                            </w:t>
      </w:r>
      <w:r>
        <w:rPr>
          <w:b w:val="1"/>
          <w:sz w:val="28"/>
        </w:rPr>
        <w:t>26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марта</w:t>
      </w:r>
      <w:r>
        <w:rPr>
          <w:b w:val="1"/>
          <w:sz w:val="28"/>
        </w:rPr>
        <w:t xml:space="preserve"> 202</w:t>
      </w:r>
      <w:r>
        <w:rPr>
          <w:b w:val="1"/>
          <w:sz w:val="28"/>
        </w:rPr>
        <w:t>5</w:t>
      </w:r>
      <w:r>
        <w:rPr>
          <w:b w:val="1"/>
          <w:sz w:val="28"/>
        </w:rPr>
        <w:t xml:space="preserve"> года. </w:t>
      </w:r>
    </w:p>
    <w:p w14:paraId="19000000">
      <w:pPr>
        <w:pStyle w:val="Style_4"/>
        <w:widowControl w:val="1"/>
        <w:spacing w:after="0"/>
        <w:ind w:firstLine="709"/>
        <w:jc w:val="both"/>
      </w:pPr>
    </w:p>
    <w:p w14:paraId="1A000000">
      <w:pPr>
        <w:widowControl w:val="1"/>
        <w:spacing w:line="240" w:lineRule="exact"/>
        <w:ind w:left="-284"/>
        <w:jc w:val="center"/>
        <w:rPr>
          <w:sz w:val="28"/>
        </w:rPr>
      </w:pPr>
      <w:r>
        <w:rPr>
          <w:sz w:val="28"/>
        </w:rPr>
        <w:t xml:space="preserve">Информация об имуществе, выставляемом на аукцион </w:t>
      </w:r>
    </w:p>
    <w:p w14:paraId="1B000000">
      <w:pPr>
        <w:widowControl w:val="1"/>
        <w:spacing w:line="240" w:lineRule="exact"/>
        <w:ind w:left="-284"/>
        <w:jc w:val="center"/>
        <w:rPr>
          <w:sz w:val="28"/>
        </w:rPr>
      </w:pPr>
      <w:r>
        <w:rPr>
          <w:sz w:val="28"/>
        </w:rPr>
        <w:t xml:space="preserve">на право заключения договоров аренды недвижимого имущества, находящегося в муниципальной собственности города Ставрополя </w:t>
      </w:r>
    </w:p>
    <w:p w14:paraId="1C000000">
      <w:pPr>
        <w:widowControl w:val="1"/>
        <w:spacing w:line="240" w:lineRule="exact"/>
        <w:ind w:left="-284"/>
        <w:jc w:val="center"/>
        <w:rPr>
          <w:sz w:val="28"/>
        </w:rPr>
      </w:pPr>
    </w:p>
    <w:tbl>
      <w:tblPr>
        <w:tblStyle w:val="Style_5"/>
        <w:tblW w:type="auto" w:w="0"/>
        <w:tblInd w:type="dxa" w:w="55"/>
        <w:tblBorders>
          <w:top w:color="000000" w:sz="4" w:val="single"/>
          <w:left w:color="000000" w:sz="4" w:val="single"/>
          <w:bottom w:sz="4" w:val="nil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28"/>
          <w:left w:type="dxa" w:w="28"/>
          <w:bottom w:type="dxa" w:w="28"/>
          <w:right w:type="dxa" w:w="28"/>
        </w:tblCellMar>
      </w:tblPr>
      <w:tblGrid>
        <w:gridCol w:w="504"/>
        <w:gridCol w:w="3722"/>
        <w:gridCol w:w="979"/>
        <w:gridCol w:w="13"/>
        <w:gridCol w:w="1671"/>
        <w:gridCol w:w="1435"/>
        <w:gridCol w:w="1035"/>
      </w:tblGrid>
      <w:tr>
        <w:trPr>
          <w:trHeight w:hRule="atLeast" w:val="3025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sz="4" w:val="nil"/>
              <w:tr2bl w:sz="4" w:val="nil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1D000000">
            <w:pPr>
              <w:widowControl w:val="1"/>
              <w:spacing w:line="260" w:lineRule="exact"/>
              <w:ind w:left="-103" w:right="-55"/>
              <w:jc w:val="center"/>
            </w:pPr>
            <w:r>
              <w:t>№ лота</w:t>
            </w:r>
          </w:p>
        </w:tc>
        <w:tc>
          <w:tcPr>
            <w:tcW w:type="dxa" w:w="37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sz="4" w:val="nil"/>
              <w:tr2bl w:sz="4" w:val="nil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1E000000">
            <w:pPr>
              <w:widowControl w:val="1"/>
              <w:spacing w:line="260" w:lineRule="exact"/>
              <w:ind/>
              <w:jc w:val="center"/>
            </w:pPr>
            <w:r>
              <w:t xml:space="preserve">Место расположения,  </w:t>
            </w:r>
          </w:p>
          <w:p w14:paraId="1F000000">
            <w:pPr>
              <w:widowControl w:val="1"/>
              <w:spacing w:line="260" w:lineRule="exact"/>
              <w:ind/>
              <w:jc w:val="center"/>
            </w:pPr>
            <w:r>
              <w:t xml:space="preserve"> характеристика, описание, </w:t>
            </w:r>
          </w:p>
          <w:p w14:paraId="20000000">
            <w:pPr>
              <w:widowControl w:val="1"/>
              <w:spacing w:line="260" w:lineRule="exact"/>
              <w:ind/>
              <w:jc w:val="center"/>
            </w:pPr>
            <w:r>
              <w:t xml:space="preserve">целевое назначение </w:t>
            </w:r>
          </w:p>
          <w:p w14:paraId="21000000">
            <w:pPr>
              <w:widowControl w:val="1"/>
              <w:spacing w:line="260" w:lineRule="exact"/>
              <w:ind/>
              <w:jc w:val="center"/>
            </w:pPr>
            <w:r>
              <w:t xml:space="preserve">недвижимого имущества, </w:t>
            </w:r>
          </w:p>
          <w:p w14:paraId="22000000">
            <w:pPr>
              <w:widowControl w:val="1"/>
              <w:spacing w:line="260" w:lineRule="exact"/>
              <w:ind/>
              <w:jc w:val="center"/>
            </w:pPr>
            <w:r>
              <w:t>обременение</w:t>
            </w:r>
          </w:p>
        </w:tc>
        <w:tc>
          <w:tcPr>
            <w:tcW w:type="dxa" w:w="99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sz="4" w:val="nil"/>
              <w:tr2bl w:sz="4" w:val="nil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23000000">
            <w:pPr>
              <w:widowControl w:val="1"/>
              <w:spacing w:line="260" w:lineRule="exact"/>
              <w:ind w:left="-55" w:right="-55"/>
              <w:jc w:val="center"/>
            </w:pPr>
            <w:r>
              <w:t xml:space="preserve">Срок </w:t>
            </w:r>
          </w:p>
          <w:p w14:paraId="24000000">
            <w:pPr>
              <w:widowControl w:val="1"/>
              <w:spacing w:line="260" w:lineRule="exact"/>
              <w:ind w:left="-55" w:right="-55"/>
              <w:jc w:val="center"/>
            </w:pPr>
            <w:r>
              <w:t xml:space="preserve">действия </w:t>
            </w:r>
          </w:p>
          <w:p w14:paraId="25000000">
            <w:pPr>
              <w:widowControl w:val="1"/>
              <w:spacing w:line="260" w:lineRule="exact"/>
              <w:ind w:left="-55" w:right="-55"/>
              <w:jc w:val="center"/>
            </w:pPr>
            <w:r>
              <w:t xml:space="preserve">договора </w:t>
            </w:r>
          </w:p>
          <w:p w14:paraId="26000000">
            <w:pPr>
              <w:widowControl w:val="1"/>
              <w:spacing w:line="260" w:lineRule="exact"/>
              <w:ind w:left="-55" w:right="-55"/>
              <w:jc w:val="center"/>
            </w:pPr>
            <w:r>
              <w:t>аренды</w:t>
            </w:r>
          </w:p>
        </w:tc>
        <w:tc>
          <w:tcPr>
            <w:tcW w:type="dxa" w:w="16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sz="4" w:val="nil"/>
              <w:tr2bl w:sz="4" w:val="nil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27000000">
            <w:pPr>
              <w:widowControl w:val="1"/>
              <w:spacing w:line="260" w:lineRule="exact"/>
              <w:ind w:right="-55"/>
              <w:jc w:val="center"/>
            </w:pPr>
            <w:r>
              <w:t xml:space="preserve">Предмет аукциона - начальная (минимальная) </w:t>
            </w:r>
          </w:p>
          <w:p w14:paraId="28000000">
            <w:pPr>
              <w:widowControl w:val="1"/>
              <w:spacing w:line="260" w:lineRule="exact"/>
              <w:ind w:right="-55"/>
              <w:jc w:val="center"/>
            </w:pPr>
            <w:r>
              <w:t xml:space="preserve">цена договора (цена лота) </w:t>
            </w:r>
          </w:p>
          <w:p w14:paraId="29000000">
            <w:pPr>
              <w:widowControl w:val="1"/>
              <w:spacing w:line="260" w:lineRule="exact"/>
              <w:ind w:right="-55"/>
              <w:jc w:val="center"/>
            </w:pPr>
            <w:r>
              <w:t>в размере ежегодного платежа за пользование муниципальным имуществом, с учетом НДС (руб.)</w:t>
            </w:r>
          </w:p>
        </w:tc>
        <w:tc>
          <w:tcPr>
            <w:tcW w:type="dxa" w:w="14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sz="4" w:val="nil"/>
              <w:tr2bl w:sz="4" w:val="nil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2A000000">
            <w:pPr>
              <w:widowControl w:val="1"/>
              <w:spacing w:line="260" w:lineRule="exact"/>
              <w:ind/>
              <w:jc w:val="center"/>
            </w:pPr>
            <w:r>
              <w:t>Сумма задатка</w:t>
            </w:r>
          </w:p>
          <w:p w14:paraId="2B000000">
            <w:pPr>
              <w:widowControl w:val="1"/>
              <w:spacing w:line="260" w:lineRule="exact"/>
              <w:ind w:left="-55" w:right="-55"/>
              <w:jc w:val="center"/>
            </w:pPr>
            <w:r>
              <w:t xml:space="preserve">(10 % </w:t>
            </w:r>
          </w:p>
          <w:p w14:paraId="2C000000">
            <w:pPr>
              <w:widowControl w:val="1"/>
              <w:spacing w:line="260" w:lineRule="exact"/>
              <w:ind w:left="-55" w:right="-55"/>
              <w:jc w:val="center"/>
              <w:rPr>
                <w:spacing w:val="-10"/>
              </w:rPr>
            </w:pPr>
            <w:r>
              <w:t xml:space="preserve">от предмета </w:t>
            </w:r>
            <w:r>
              <w:rPr>
                <w:spacing w:val="-10"/>
              </w:rPr>
              <w:t>аукциона</w:t>
            </w:r>
            <w:r>
              <w:rPr>
                <w:spacing w:val="-18"/>
              </w:rPr>
              <w:t>)</w:t>
            </w:r>
          </w:p>
          <w:p w14:paraId="2D000000">
            <w:pPr>
              <w:widowControl w:val="1"/>
              <w:spacing w:line="260" w:lineRule="exact"/>
              <w:ind/>
              <w:jc w:val="center"/>
            </w:pPr>
            <w:r>
              <w:t>(руб.)</w:t>
            </w:r>
          </w:p>
        </w:tc>
        <w:tc>
          <w:tcPr>
            <w:tcW w:type="dxa" w:w="10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sz="4" w:val="nil"/>
              <w:tr2bl w:sz="4" w:val="nil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2E000000">
            <w:pPr>
              <w:widowControl w:val="1"/>
              <w:spacing w:line="260" w:lineRule="exact"/>
              <w:ind/>
              <w:jc w:val="center"/>
            </w:pPr>
            <w:r>
              <w:t>Шаг аукциона</w:t>
            </w:r>
          </w:p>
          <w:p w14:paraId="2F000000">
            <w:pPr>
              <w:widowControl w:val="1"/>
              <w:spacing w:line="260" w:lineRule="exact"/>
              <w:ind w:left="-55" w:right="-55"/>
              <w:jc w:val="center"/>
              <w:rPr>
                <w:spacing w:val="-10"/>
              </w:rPr>
            </w:pPr>
            <w:r>
              <w:t xml:space="preserve">(5 % от предмета </w:t>
            </w:r>
            <w:r>
              <w:rPr>
                <w:spacing w:val="-10"/>
              </w:rPr>
              <w:t>аукциона</w:t>
            </w:r>
            <w:r>
              <w:rPr>
                <w:spacing w:val="-18"/>
              </w:rPr>
              <w:t>)</w:t>
            </w:r>
          </w:p>
          <w:p w14:paraId="30000000">
            <w:pPr>
              <w:widowControl w:val="1"/>
              <w:spacing w:line="260" w:lineRule="exact"/>
              <w:ind/>
              <w:jc w:val="center"/>
            </w:pPr>
            <w:r>
              <w:t xml:space="preserve"> (руб.)</w:t>
            </w:r>
          </w:p>
        </w:tc>
      </w:tr>
      <w:tr>
        <w:trPr>
          <w:trHeight w:hRule="atLeast" w:val="336"/>
        </w:trPr>
        <w:tc>
          <w:tcPr>
            <w:tcW w:type="dxa" w:w="50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31000000">
            <w:pPr>
              <w:widowControl w:val="1"/>
              <w:tabs>
                <w:tab w:leader="none" w:pos="720" w:val="left"/>
              </w:tabs>
              <w:spacing w:line="260" w:lineRule="exact"/>
              <w:ind/>
              <w:jc w:val="center"/>
            </w:pPr>
            <w:r>
              <w:t>1.</w:t>
            </w:r>
          </w:p>
        </w:tc>
        <w:tc>
          <w:tcPr>
            <w:tcW w:type="dxa" w:w="37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32000000">
            <w:pPr>
              <w:widowControl w:val="1"/>
              <w:spacing w:line="260" w:lineRule="exact"/>
              <w:ind/>
            </w:pPr>
            <w:r>
              <w:t>Нежилые помещения №№ 25, 26, 59, 60</w:t>
            </w:r>
            <w:r>
              <w:t xml:space="preserve"> общей площадью 71,1 </w:t>
            </w:r>
            <w:r>
              <w:t>кв.м</w:t>
            </w:r>
            <w:r>
              <w:t>,</w:t>
            </w:r>
            <w:r>
              <w:t xml:space="preserve"> этаж 1,</w:t>
            </w:r>
            <w:r>
              <w:t xml:space="preserve"> входящие в состав объекта недвижимости с кадастровым номером 26:12:022314:561, общей площадью</w:t>
            </w:r>
            <w:r>
              <w:t xml:space="preserve">1063,8 </w:t>
            </w:r>
            <w:r>
              <w:t>кв.м</w:t>
            </w:r>
            <w:r>
              <w:t xml:space="preserve">, по адресу: Ставропольский край, город Ставрополь, проспект </w:t>
            </w:r>
            <w:r>
              <w:t>К.Маркса</w:t>
            </w:r>
            <w:r>
              <w:t>, 68</w:t>
            </w:r>
          </w:p>
          <w:p w14:paraId="33000000">
            <w:pPr>
              <w:widowControl w:val="1"/>
              <w:spacing w:line="260" w:lineRule="exact"/>
              <w:ind/>
            </w:pPr>
            <w:r>
              <w:t xml:space="preserve">Обременение: охранное, обязательство, собственника, или иного законного владельца объекта культурного наследия </w:t>
            </w:r>
            <w:bookmarkStart w:id="1" w:name="_GoBack"/>
            <w:r>
              <w:t xml:space="preserve">регионального значения «Азово-Донской банк», первая половина </w:t>
            </w:r>
          </w:p>
          <w:p w14:paraId="34000000">
            <w:pPr>
              <w:widowControl w:val="1"/>
              <w:spacing w:line="260" w:lineRule="exact"/>
              <w:ind/>
            </w:pPr>
            <w:r>
              <w:t>XIX</w:t>
            </w:r>
            <w:r>
              <w:t xml:space="preserve"> в., расположенного по адресу: </w:t>
            </w:r>
          </w:p>
          <w:p w14:paraId="35000000">
            <w:pPr>
              <w:widowControl w:val="1"/>
              <w:spacing w:line="260" w:lineRule="exact"/>
              <w:ind/>
            </w:pPr>
            <w:r>
              <w:t xml:space="preserve">Ставропольский край, город Ставрополь, проспект </w:t>
            </w:r>
            <w:r>
              <w:t>К.Маркса</w:t>
            </w:r>
            <w:r>
              <w:t>, 68</w:t>
            </w:r>
            <w:bookmarkEnd w:id="1"/>
            <w:r>
              <w:t xml:space="preserve">, включенного в единый реестр </w:t>
            </w:r>
            <w:r>
              <w:t>объектов культурного наследия (памятников истории и культуры) народов Российской Федерации, утвержденное приказом Управления Ставропольского края по сохранению и государственной охране объектов культурного наследия от 15.02.2023 № 113</w:t>
            </w:r>
          </w:p>
          <w:p w14:paraId="36000000">
            <w:pPr>
              <w:widowControl w:val="1"/>
              <w:spacing w:line="260" w:lineRule="exact"/>
              <w:ind/>
            </w:pPr>
            <w:r>
              <w:t>Целевое использование: под офис, бытовое обслуживание, обслуживание жилищного фонда, общественное питание, торговую, медицинскую, образовательную деятельность, деятельность в области спорта, культуры, организации досуга.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37000000">
            <w:pPr>
              <w:widowControl w:val="1"/>
              <w:spacing w:line="260" w:lineRule="exact"/>
              <w:ind w:left="-55" w:right="-55"/>
              <w:jc w:val="center"/>
            </w:pPr>
            <w:r>
              <w:t>3 года</w:t>
            </w:r>
          </w:p>
        </w:tc>
        <w:tc>
          <w:tcPr>
            <w:tcW w:type="dxa" w:w="1684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38000000">
            <w:pPr>
              <w:widowControl w:val="1"/>
              <w:spacing w:line="260" w:lineRule="exact"/>
              <w:ind/>
              <w:jc w:val="center"/>
            </w:pPr>
            <w:r>
              <w:t>209 892,00</w:t>
            </w:r>
          </w:p>
        </w:tc>
        <w:tc>
          <w:tcPr>
            <w:tcW w:type="dxa" w:w="14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39000000">
            <w:pPr>
              <w:widowControl w:val="1"/>
              <w:spacing w:line="260" w:lineRule="exact"/>
              <w:ind w:left="-197" w:right="-143"/>
              <w:jc w:val="center"/>
            </w:pPr>
            <w:r>
              <w:t>20 989,20</w:t>
            </w:r>
          </w:p>
        </w:tc>
        <w:tc>
          <w:tcPr>
            <w:tcW w:type="dxa" w:w="10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3A000000">
            <w:pPr>
              <w:widowControl w:val="1"/>
              <w:spacing w:line="260" w:lineRule="exact"/>
              <w:ind/>
              <w:jc w:val="center"/>
            </w:pPr>
            <w:r>
              <w:t>10 494,60</w:t>
            </w:r>
          </w:p>
        </w:tc>
      </w:tr>
      <w:tr>
        <w:trPr>
          <w:trHeight w:hRule="atLeast" w:val="2840"/>
        </w:trPr>
        <w:tc>
          <w:tcPr>
            <w:tcW w:type="dxa" w:w="50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/>
        </w:tc>
        <w:tc>
          <w:tcPr>
            <w:tcW w:type="dxa" w:w="8855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3B000000">
            <w:pPr>
              <w:widowControl w:val="1"/>
              <w:ind/>
              <w:jc w:val="center"/>
            </w:pPr>
            <w:r>
              <w:t>Технические характеристики помещения:</w:t>
            </w:r>
          </w:p>
          <w:p w14:paraId="3C000000">
            <w:r>
              <w:t xml:space="preserve">Помещение расположено в объекте культурного наследия регионального значения </w:t>
            </w:r>
            <w:r>
              <w:t>«Азово-</w:t>
            </w:r>
            <w:r>
              <w:t>Донской банк», первая половина XIX в., по адресу:</w:t>
            </w:r>
            <w:r>
              <w:t xml:space="preserve">Ставропольский край,                      г. Ставрополь, пр. К. Маркса, д. 68. </w:t>
            </w:r>
            <w:r>
              <w:t xml:space="preserve">Год постройки здания - </w:t>
            </w:r>
            <w:r>
              <w:t xml:space="preserve">первая половина </w:t>
            </w:r>
            <w:r>
              <w:t>XIX</w:t>
            </w:r>
            <w:r>
              <w:t xml:space="preserve"> в</w:t>
            </w:r>
            <w:r>
              <w:t xml:space="preserve">. Материал наружных стен – </w:t>
            </w:r>
            <w:r>
              <w:t xml:space="preserve">кирпич. </w:t>
            </w:r>
          </w:p>
          <w:p w14:paraId="3D000000">
            <w:r>
              <w:t xml:space="preserve">Имеется отдельный вход в помещение.  </w:t>
            </w:r>
            <w:r>
              <w:t>Входная дверь – деревянная</w:t>
            </w:r>
            <w:r>
              <w:t>.</w:t>
            </w:r>
            <w:r>
              <w:t xml:space="preserve"> </w:t>
            </w:r>
            <w:r>
              <w:t xml:space="preserve">Оконные </w:t>
            </w:r>
          </w:p>
          <w:p w14:paraId="3E000000">
            <w:r>
              <w:t xml:space="preserve">блоки – деревянные. </w:t>
            </w:r>
            <w:r>
              <w:t>Внутренняя отделка стен – пластиковые панели. П</w:t>
            </w:r>
            <w:r>
              <w:t xml:space="preserve">олы – бетонные, потолки – штукатурка, побелка. </w:t>
            </w:r>
            <w:r>
              <w:t xml:space="preserve">В помещении имеются следующие коммуникации: электроснабжение. Санитарно – техническое оборудование отсутствует. </w:t>
            </w:r>
            <w:r>
              <w:t>Помещение требует ремонта.</w:t>
            </w:r>
          </w:p>
        </w:tc>
      </w:tr>
    </w:tbl>
    <w:p w14:paraId="3F000000">
      <w:pPr>
        <w:widowControl w:val="1"/>
        <w:spacing w:line="300" w:lineRule="exact"/>
        <w:ind w:firstLine="709"/>
        <w:jc w:val="both"/>
      </w:pPr>
    </w:p>
    <w:p w14:paraId="40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>Участником аукциона может быть любое юридическое лицо независимо от организационно-правовой формы, места нахождения, а также места происхождения капитала или любое физическое лицо, в том числе индивидуальный предприниматель, претендующие на заключение договора.</w:t>
      </w:r>
    </w:p>
    <w:p w14:paraId="41000000">
      <w:pPr>
        <w:pStyle w:val="Style_4"/>
        <w:widowControl w:val="0"/>
        <w:spacing w:after="0"/>
        <w:ind w:firstLine="720"/>
        <w:jc w:val="both"/>
      </w:pPr>
      <w:r>
        <w:t xml:space="preserve">Документация об аукционе размещается в информационно-телекоммуникационной сети «Интернет» на официальном сайте              Российской Федерации для размещения информации о проведении                  торгов: </w:t>
      </w:r>
      <w:r>
        <w:rPr>
          <w:color w:val="000000"/>
          <w:u w:val="none"/>
        </w:rPr>
        <w:fldChar w:fldCharType="begin"/>
      </w:r>
      <w:r>
        <w:rPr>
          <w:color w:val="000000"/>
          <w:u w:val="none"/>
        </w:rPr>
        <w:instrText>HYPERLINK "http://www.torgi.gov.ru"</w:instrText>
      </w:r>
      <w:r>
        <w:rPr>
          <w:color w:val="000000"/>
          <w:u w:val="none"/>
        </w:rPr>
        <w:fldChar w:fldCharType="separate"/>
      </w:r>
      <w:r>
        <w:rPr>
          <w:color w:val="000000"/>
          <w:u w:val="none"/>
        </w:rPr>
        <w:t>www.torgi.gov.ru</w:t>
      </w:r>
      <w:r>
        <w:rPr>
          <w:color w:val="000000"/>
          <w:u w:val="none"/>
        </w:rPr>
        <w:fldChar w:fldCharType="end"/>
      </w:r>
      <w:r>
        <w:t xml:space="preserve"> (далее – официальный сайт, официальный сайт торгов), на официальном сайте администрации города Ставрополя: </w:t>
      </w:r>
      <w:r>
        <w:rPr>
          <w:rFonts w:ascii="Times New Roman" w:hAnsi="Times New Roman"/>
          <w:color w:val="000000"/>
          <w:sz w:val="28"/>
        </w:rPr>
        <w:t>https://stavropol.gosuslugi.ru</w:t>
      </w:r>
      <w:r>
        <w:t xml:space="preserve"> и на электронной торговой площадке - </w:t>
      </w:r>
      <w:r>
        <w:rPr>
          <w:highlight w:val="white"/>
        </w:rPr>
        <w:t> «</w:t>
      </w:r>
      <w:r>
        <w:rPr>
          <w:highlight w:val="white"/>
        </w:rPr>
        <w:t>Росэлторг</w:t>
      </w:r>
      <w:r>
        <w:rPr>
          <w:highlight w:val="white"/>
        </w:rPr>
        <w:t>» («Единая электронная торговая площадка») по адресу</w:t>
      </w:r>
      <w:r>
        <w:t xml:space="preserve"> в информационно-телекоммуникационной сети «Интернет»: </w:t>
      </w:r>
      <w:r>
        <w:fldChar w:fldCharType="begin"/>
      </w:r>
      <w:r>
        <w:instrText>HYPERLINK "https://178fz.roseltorg.ru"</w:instrText>
      </w:r>
      <w:r>
        <w:fldChar w:fldCharType="separate"/>
      </w:r>
      <w:r>
        <w:t>https://178fz.roseltorg.ru.</w:t>
      </w:r>
      <w:r>
        <w:fldChar w:fldCharType="end"/>
      </w:r>
    </w:p>
    <w:p w14:paraId="42000000">
      <w:pPr>
        <w:pStyle w:val="Style_4"/>
        <w:widowControl w:val="0"/>
        <w:spacing w:after="0"/>
        <w:ind w:firstLine="720"/>
        <w:jc w:val="both"/>
      </w:pPr>
      <w:r>
        <w:t xml:space="preserve">«Регламент размещения процедур по продаже и аренде государственного или муниципального имущества с использованием электронной площадки «Приватизация и аренда имущества» акционерного общества «Единая электронная торговая площадка» размещен в открытой части электронной площадки в разделе «Помощь», подраздел «База знаний», </w:t>
      </w:r>
      <w:r>
        <w:t>во вкладке «Документы и регламенты» на сайте оператора электронной площадки.</w:t>
      </w:r>
    </w:p>
    <w:p w14:paraId="43000000">
      <w:pPr>
        <w:pStyle w:val="Style_4"/>
        <w:widowControl w:val="1"/>
        <w:spacing w:after="0"/>
        <w:ind w:firstLine="735"/>
        <w:jc w:val="both"/>
      </w:pPr>
      <w:r>
        <w:t>Организатором аукциона установлено требование о внесение задатка для участия в аукционе.</w:t>
      </w:r>
    </w:p>
    <w:p w14:paraId="44000000">
      <w:pPr>
        <w:pStyle w:val="Style_4"/>
        <w:widowControl w:val="1"/>
        <w:spacing w:after="0"/>
        <w:ind w:firstLine="735"/>
        <w:jc w:val="both"/>
      </w:pPr>
      <w:r>
        <w:t xml:space="preserve">Для участия в аукционе заявитель перечисляет задаток в размере 10 процентов от начальной (минимальной) цены договора аренды. Задаток должен поступить не позднее времени и даты окончания приема заявок на расчетный счет оператора электронной площадки: </w:t>
      </w:r>
    </w:p>
    <w:p w14:paraId="45000000">
      <w:pPr>
        <w:widowControl w:val="1"/>
        <w:ind w:firstLine="142" w:left="567"/>
        <w:rPr>
          <w:sz w:val="28"/>
        </w:rPr>
      </w:pPr>
      <w:r>
        <w:rPr>
          <w:sz w:val="28"/>
        </w:rPr>
        <w:t>Получатель: АО «Единая электронная торговая площадка»</w:t>
      </w:r>
    </w:p>
    <w:p w14:paraId="46000000">
      <w:pPr>
        <w:widowControl w:val="1"/>
        <w:ind w:firstLine="142" w:left="567"/>
        <w:rPr>
          <w:sz w:val="28"/>
        </w:rPr>
      </w:pPr>
      <w:r>
        <w:rPr>
          <w:sz w:val="28"/>
        </w:rPr>
        <w:t>ИНН: 7707704692</w:t>
      </w:r>
    </w:p>
    <w:p w14:paraId="47000000">
      <w:pPr>
        <w:widowControl w:val="1"/>
        <w:ind w:firstLine="142" w:left="567"/>
        <w:rPr>
          <w:sz w:val="28"/>
        </w:rPr>
      </w:pPr>
      <w:r>
        <w:rPr>
          <w:sz w:val="28"/>
        </w:rPr>
        <w:t>КПП: 772501001</w:t>
      </w:r>
    </w:p>
    <w:p w14:paraId="48000000">
      <w:pPr>
        <w:widowControl w:val="1"/>
        <w:ind w:left="709"/>
        <w:rPr>
          <w:sz w:val="28"/>
        </w:rPr>
      </w:pPr>
      <w:r>
        <w:rPr>
          <w:sz w:val="28"/>
        </w:rPr>
        <w:t>Наименование банка получателя: Филиал «Центральный» Банка ВТБ (ПАО) в г. Москва</w:t>
      </w:r>
    </w:p>
    <w:p w14:paraId="49000000">
      <w:pPr>
        <w:widowControl w:val="1"/>
        <w:ind w:firstLine="283" w:left="425"/>
        <w:rPr>
          <w:sz w:val="28"/>
        </w:rPr>
      </w:pPr>
      <w:r>
        <w:rPr>
          <w:sz w:val="28"/>
        </w:rPr>
        <w:t>Расчетный счет: 40702810510050001273</w:t>
      </w:r>
    </w:p>
    <w:p w14:paraId="4A000000">
      <w:pPr>
        <w:widowControl w:val="1"/>
        <w:ind w:firstLine="283" w:left="425"/>
        <w:rPr>
          <w:sz w:val="28"/>
        </w:rPr>
      </w:pPr>
      <w:r>
        <w:rPr>
          <w:sz w:val="28"/>
        </w:rPr>
        <w:t>БИК: 044525411</w:t>
      </w:r>
    </w:p>
    <w:p w14:paraId="4B000000">
      <w:pPr>
        <w:widowControl w:val="1"/>
        <w:ind w:firstLine="283" w:left="425"/>
        <w:rPr>
          <w:sz w:val="28"/>
        </w:rPr>
      </w:pPr>
      <w:r>
        <w:rPr>
          <w:sz w:val="28"/>
        </w:rPr>
        <w:t>Корреспондентский счет: 30101810145250000411</w:t>
      </w:r>
    </w:p>
    <w:p w14:paraId="4C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>Назначение платежа: Перечисление денежных средств оператору электронной торговой площадки для проведения операций по организации процедур и обеспечению участия в них, лицевой счет № (номер лицевого счета).</w:t>
      </w:r>
    </w:p>
    <w:p w14:paraId="4D000000">
      <w:pPr>
        <w:widowControl w:val="1"/>
        <w:ind w:firstLine="709"/>
        <w:jc w:val="both"/>
        <w:rPr>
          <w:sz w:val="28"/>
        </w:rPr>
      </w:pPr>
      <w:r>
        <w:rPr>
          <w:sz w:val="28"/>
          <w:highlight w:val="white"/>
        </w:rPr>
        <w:t>При заключении договора аренды с лицом, выигравшим торги, единственным заявителем, единственным участником аукциона, сумма внесенного ими задатка засчитывается в счет исполнения обязательств по заключенному договору аренды.</w:t>
      </w:r>
    </w:p>
    <w:p w14:paraId="4E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>Организатор аукциона вправе принять решение о внесении изменений в извещение о проведении аукциона. Такие изменения формируются организатором с использованием официального сайта, подписываются усиленной квалифицированной подписью лица, уполномоченного действовать от имени организатора аукциона и размещаются организатором аукциона на официальном сайте не позднее чем за пять дней до даты окончания подачи заявок на участие в аукционе.</w:t>
      </w:r>
    </w:p>
    <w:p w14:paraId="4F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>В течение одного часа с момента размещения изменений в извещение о проведении аукциона на официальном сайте оператор электронной площадки размещает соответствующие изменения в извещение на электронной площадке. При внесении изменений в извещение о проведении аукциона срок подачи заявок на участие в аукционе должен быть продлен таким образом, чтобы с даты размещения на официальном сайте внесенных изменений в извещение о проведении аукциона до даты окончания срока подачи заявок на участие в аукционе он составлял не менее двадцати дней.</w:t>
      </w:r>
    </w:p>
    <w:p w14:paraId="50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 xml:space="preserve">Организатор аукциона вправе отказаться от проведения аукциона. Извещение об отказе от проведения аукциона формируется организатором аукциона с использованием официального сайта, подписывается усиленной квалифицированной подписью лица, уполномоченного действовать от имени организатора аукциона, и размещается на официальном сайте не позднее чем </w:t>
      </w:r>
      <w:r>
        <w:rPr>
          <w:sz w:val="28"/>
        </w:rPr>
        <w:t>за пять дней до даты окончания срока подачи заявок на участие в аукционе. В течение одного часа с момента размещения извещения об отказе от проведения аукциона на официальном сайте оператор электронной площадки размещает извещение об отказе от проведения аукциона на электронной площадке. Денежные средства, внесенные в качестве задатка, возвращаются заявителю в течение пяти рабочих дней с даты размещения извещения об отказе от проведения аукциона на официальном сайте.</w:t>
      </w:r>
    </w:p>
    <w:p w14:paraId="51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>Заключение договора аренды по итогам аукциона осуществляется в порядке, предусмотренном Гражданским кодексом Российской Федерации и иными федеральными законам в срок не ранее чем через 10 дней и не позднее чем через 20 дней со дня размещения информации о результатах аукциона на официальном сайте торгов.</w:t>
      </w:r>
    </w:p>
    <w:p w14:paraId="52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>Оплата по договору аренды вносится ежемесячно, не позднее 25 числа расчетного месяца, путем перечисления на расчетный счет комитета по управлению муниципальным имуществом города Ставрополя, указанный в договоре аренды без выставления счета.</w:t>
      </w:r>
    </w:p>
    <w:p w14:paraId="53000000">
      <w:pPr>
        <w:widowControl w:val="1"/>
        <w:tabs>
          <w:tab w:leader="none" w:pos="720" w:val="left"/>
        </w:tabs>
        <w:ind w:firstLine="709"/>
        <w:jc w:val="both"/>
        <w:rPr>
          <w:sz w:val="28"/>
        </w:rPr>
      </w:pPr>
      <w:r>
        <w:rPr>
          <w:sz w:val="28"/>
        </w:rPr>
        <w:t>Налог на добавленную стоимость оплачивается в порядке и сроки, предусмотренные Налоговым кодексом Российской Федерации.</w:t>
      </w:r>
    </w:p>
    <w:p w14:paraId="54000000">
      <w:pPr>
        <w:widowControl w:val="1"/>
        <w:tabs>
          <w:tab w:leader="none" w:pos="540" w:val="left"/>
        </w:tabs>
        <w:ind w:firstLine="709"/>
        <w:jc w:val="both"/>
        <w:rPr>
          <w:sz w:val="28"/>
        </w:rPr>
      </w:pPr>
      <w:r>
        <w:rPr>
          <w:sz w:val="28"/>
        </w:rPr>
        <w:t>В арендную плату не включаются: оплата коммунальных услуг и иных эксплуатационных расходов.</w:t>
      </w:r>
    </w:p>
    <w:p w14:paraId="55000000">
      <w:pPr>
        <w:widowControl w:val="1"/>
        <w:tabs>
          <w:tab w:leader="none" w:pos="540" w:val="left"/>
        </w:tabs>
        <w:ind w:firstLine="709"/>
        <w:jc w:val="both"/>
        <w:rPr>
          <w:sz w:val="28"/>
        </w:rPr>
      </w:pPr>
      <w:r>
        <w:rPr>
          <w:sz w:val="28"/>
        </w:rPr>
        <w:t>Оплата коммунальных услуг и иных эксплуатационных расходов, расходов на содержание общего имущества осуществляется арендатором самостоятельно на основании договоров, заключенных с поставщиками (либо управляющими организациями).</w:t>
      </w:r>
    </w:p>
    <w:p w14:paraId="56000000">
      <w:pPr>
        <w:pStyle w:val="Style_4"/>
        <w:widowControl w:val="1"/>
        <w:spacing w:after="0"/>
        <w:ind/>
        <w:jc w:val="both"/>
      </w:pPr>
    </w:p>
    <w:p w14:paraId="57000000">
      <w:pPr>
        <w:pStyle w:val="Style_4"/>
        <w:widowControl w:val="1"/>
        <w:spacing w:after="0"/>
        <w:ind/>
        <w:jc w:val="both"/>
      </w:pPr>
    </w:p>
    <w:p w14:paraId="58000000">
      <w:pPr>
        <w:pStyle w:val="Style_4"/>
        <w:widowControl w:val="1"/>
        <w:spacing w:after="0"/>
        <w:ind/>
        <w:jc w:val="both"/>
      </w:pPr>
    </w:p>
    <w:p w14:paraId="59000000">
      <w:pPr>
        <w:pStyle w:val="Style_4"/>
        <w:widowControl w:val="1"/>
        <w:spacing w:after="0" w:line="240" w:lineRule="exact"/>
        <w:ind/>
      </w:pPr>
      <w:r>
        <w:t>За</w:t>
      </w:r>
      <w:r>
        <w:t xml:space="preserve">меститель руководителя </w:t>
      </w:r>
    </w:p>
    <w:p w14:paraId="5A000000">
      <w:pPr>
        <w:pStyle w:val="Style_4"/>
        <w:widowControl w:val="1"/>
        <w:spacing w:after="0" w:line="240" w:lineRule="exact"/>
        <w:ind/>
      </w:pPr>
      <w:r>
        <w:t>комитета по управлению муниципальным</w:t>
      </w:r>
    </w:p>
    <w:p w14:paraId="5B000000">
      <w:pPr>
        <w:pStyle w:val="Style_4"/>
        <w:widowControl w:val="1"/>
        <w:spacing w:after="0" w:line="240" w:lineRule="exact"/>
        <w:ind/>
      </w:pPr>
      <w:r>
        <w:t xml:space="preserve">имуществом города Ставрополя                                                      Н.В. </w:t>
      </w:r>
      <w:r>
        <w:t>Бенедюк</w:t>
      </w:r>
    </w:p>
    <w:sectPr>
      <w:headerReference r:id="rId1" w:type="default"/>
      <w:pgSz w:h="16838" w:orient="portrait" w:w="11906"/>
      <w:pgMar w:bottom="1134" w:footer="709" w:gutter="0" w:header="709" w:left="1985" w:right="567" w:top="1418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widowControl w:val="1"/>
      <w:ind/>
      <w:jc w:val="center"/>
    </w:pPr>
    <w:r>
      <w:rPr>
        <w:rStyle w:val="Style_1_ch"/>
        <w:sz w:val="28"/>
      </w:rPr>
      <w:fldChar w:fldCharType="begin"/>
    </w:r>
    <w:r>
      <w:rPr>
        <w:rStyle w:val="Style_1_ch"/>
        <w:sz w:val="28"/>
      </w:rPr>
      <w:instrText xml:space="preserve">PAGE </w:instrText>
    </w:r>
    <w:r>
      <w:rPr>
        <w:rStyle w:val="Style_1_ch"/>
        <w:sz w:val="28"/>
      </w:rPr>
      <w:fldChar w:fldCharType="separate"/>
    </w:r>
    <w:r>
      <w:rPr>
        <w:rStyle w:val="Style_1_ch"/>
        <w:sz w:val="28"/>
      </w:rPr>
      <w:t xml:space="preserve"> </w:t>
    </w:r>
    <w:r>
      <w:rPr>
        <w:rStyle w:val="Style_1_ch"/>
        <w:sz w:val="28"/>
      </w:rPr>
      <w:fldChar w:fldCharType="end"/>
    </w:r>
  </w:p>
  <w:p w14:paraId="02000000">
    <w:pPr>
      <w:pStyle w:val="Style_2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widowControl w:val="1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rPr>
      <w:sz w:val="24"/>
    </w:rPr>
  </w:style>
  <w:style w:default="1" w:styleId="Style_6_ch" w:type="character">
    <w:name w:val="Normal"/>
    <w:link w:val="Style_6"/>
    <w:rPr>
      <w:sz w:val="24"/>
    </w:rPr>
  </w:style>
  <w:style w:styleId="Style_7" w:type="paragraph">
    <w:name w:val="Default"/>
    <w:link w:val="Style_7_ch"/>
    <w:rPr>
      <w:sz w:val="24"/>
    </w:rPr>
  </w:style>
  <w:style w:styleId="Style_7_ch" w:type="character">
    <w:name w:val="Default"/>
    <w:link w:val="Style_7"/>
    <w:rPr>
      <w:sz w:val="24"/>
    </w:rPr>
  </w:style>
  <w:style w:styleId="Style_8" w:type="paragraph">
    <w:name w:val="ConsPlusNormal"/>
    <w:link w:val="Style_8_ch"/>
    <w:pPr>
      <w:widowControl w:val="0"/>
      <w:ind w:firstLine="720"/>
    </w:pPr>
    <w:rPr>
      <w:rFonts w:ascii="Arial" w:hAnsi="Arial"/>
    </w:rPr>
  </w:style>
  <w:style w:styleId="Style_8_ch" w:type="character">
    <w:name w:val="ConsPlusNormal"/>
    <w:link w:val="Style_8"/>
    <w:rPr>
      <w:rFonts w:ascii="Arial" w:hAnsi="Arial"/>
    </w:rPr>
  </w:style>
  <w:style w:styleId="Style_9" w:type="paragraph">
    <w:name w:val="toc 2"/>
    <w:next w:val="Style_6"/>
    <w:link w:val="Style_9_ch"/>
    <w:uiPriority w:val="39"/>
    <w:pPr>
      <w:widowControl w:val="1"/>
      <w:ind w:left="200"/>
    </w:pPr>
    <w:rPr>
      <w:rFonts w:ascii="XO Thames" w:hAnsi="XO Thames"/>
      <w:sz w:val="28"/>
    </w:rPr>
  </w:style>
  <w:style w:styleId="Style_9_ch" w:type="character">
    <w:name w:val="toc 2"/>
    <w:link w:val="Style_9"/>
    <w:rPr>
      <w:rFonts w:ascii="XO Thames" w:hAnsi="XO Thames"/>
      <w:sz w:val="28"/>
    </w:rPr>
  </w:style>
  <w:style w:styleId="Style_10" w:type="paragraph">
    <w:name w:val="toc 4"/>
    <w:next w:val="Style_6"/>
    <w:link w:val="Style_10_ch"/>
    <w:uiPriority w:val="39"/>
    <w:pPr>
      <w:widowControl w:val="1"/>
      <w:ind w:left="600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11" w:type="paragraph">
    <w:name w:val="toc 6"/>
    <w:next w:val="Style_6"/>
    <w:link w:val="Style_11_ch"/>
    <w:uiPriority w:val="39"/>
    <w:pPr>
      <w:widowControl w:val="1"/>
      <w:ind w:left="1000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toc 7"/>
    <w:next w:val="Style_6"/>
    <w:link w:val="Style_12_ch"/>
    <w:uiPriority w:val="39"/>
    <w:pPr>
      <w:widowControl w:val="1"/>
      <w:ind w:left="1200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13" w:type="paragraph">
    <w:name w:val="Гиперссылка3"/>
    <w:link w:val="Style_13_ch"/>
    <w:rPr>
      <w:color w:val="0000FF"/>
      <w:u w:val="single"/>
    </w:rPr>
  </w:style>
  <w:style w:styleId="Style_13_ch" w:type="character">
    <w:name w:val="Гиперссылка3"/>
    <w:link w:val="Style_13"/>
    <w:rPr>
      <w:color w:val="0000FF"/>
      <w:u w:val="single"/>
    </w:rPr>
  </w:style>
  <w:style w:styleId="Style_14" w:type="paragraph">
    <w:name w:val="Endnote"/>
    <w:link w:val="Style_14_ch"/>
    <w:pPr>
      <w:widowControl w:val="1"/>
      <w:ind w:firstLine="851"/>
      <w:jc w:val="both"/>
    </w:pPr>
    <w:rPr>
      <w:rFonts w:ascii="XO Thames" w:hAnsi="XO Thames"/>
      <w:sz w:val="22"/>
    </w:rPr>
  </w:style>
  <w:style w:styleId="Style_14_ch" w:type="character">
    <w:name w:val="Endnote"/>
    <w:link w:val="Style_14"/>
    <w:rPr>
      <w:rFonts w:ascii="XO Thames" w:hAnsi="XO Thames"/>
      <w:sz w:val="22"/>
    </w:rPr>
  </w:style>
  <w:style w:styleId="Style_15" w:type="paragraph">
    <w:name w:val="heading 3"/>
    <w:next w:val="Style_6"/>
    <w:link w:val="Style_15_ch"/>
    <w:uiPriority w:val="9"/>
    <w:qFormat/>
    <w:pPr>
      <w:widowControl w:val="1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5_ch" w:type="character">
    <w:name w:val="heading 3"/>
    <w:link w:val="Style_15"/>
    <w:rPr>
      <w:rFonts w:ascii="XO Thames" w:hAnsi="XO Thames"/>
      <w:b w:val="1"/>
      <w:sz w:val="26"/>
    </w:rPr>
  </w:style>
  <w:style w:styleId="Style_16" w:type="paragraph">
    <w:name w:val="Заголовок 1 Знак"/>
    <w:link w:val="Style_16_ch"/>
    <w:rPr>
      <w:rFonts w:ascii="XO Thames" w:hAnsi="XO Thames"/>
      <w:b w:val="1"/>
      <w:sz w:val="32"/>
    </w:rPr>
  </w:style>
  <w:style w:styleId="Style_16_ch" w:type="character">
    <w:name w:val="Заголовок 1 Знак"/>
    <w:link w:val="Style_16"/>
    <w:rPr>
      <w:rFonts w:ascii="XO Thames" w:hAnsi="XO Thames"/>
      <w:b w:val="1"/>
      <w:sz w:val="32"/>
    </w:rPr>
  </w:style>
  <w:style w:styleId="Style_17" w:type="paragraph">
    <w:name w:val="Normal (Web)"/>
    <w:basedOn w:val="Style_6"/>
    <w:link w:val="Style_17_ch"/>
    <w:pPr>
      <w:widowControl w:val="1"/>
      <w:spacing w:afterAutospacing="on" w:beforeAutospacing="on"/>
      <w:ind/>
    </w:pPr>
  </w:style>
  <w:style w:styleId="Style_17_ch" w:type="character">
    <w:name w:val="Normal (Web)"/>
    <w:basedOn w:val="Style_6_ch"/>
    <w:link w:val="Style_17"/>
  </w:style>
  <w:style w:styleId="Style_18" w:type="paragraph">
    <w:name w:val="Основной шрифт абзаца2"/>
    <w:link w:val="Style_18_ch"/>
  </w:style>
  <w:style w:styleId="Style_18_ch" w:type="character">
    <w:name w:val="Основной шрифт абзаца2"/>
    <w:link w:val="Style_18"/>
  </w:style>
  <w:style w:styleId="Style_2" w:type="paragraph">
    <w:name w:val="header"/>
    <w:basedOn w:val="Style_6"/>
    <w:link w:val="Style_2_ch"/>
    <w:pPr>
      <w:widowControl w:val="1"/>
      <w:tabs>
        <w:tab w:leader="none" w:pos="4677" w:val="center"/>
        <w:tab w:leader="none" w:pos="9355" w:val="right"/>
      </w:tabs>
      <w:ind/>
    </w:pPr>
  </w:style>
  <w:style w:styleId="Style_2_ch" w:type="character">
    <w:name w:val="header"/>
    <w:basedOn w:val="Style_6_ch"/>
    <w:link w:val="Style_2"/>
  </w:style>
  <w:style w:styleId="Style_19" w:type="paragraph">
    <w:name w:val="Основной шрифт абзаца1"/>
    <w:link w:val="Style_19_ch"/>
  </w:style>
  <w:style w:styleId="Style_19_ch" w:type="character">
    <w:name w:val="Основной шрифт абзаца1"/>
    <w:link w:val="Style_19"/>
  </w:style>
  <w:style w:styleId="Style_20" w:type="paragraph">
    <w:name w:val="Body Text Indent 3"/>
    <w:basedOn w:val="Style_6"/>
    <w:link w:val="Style_20_ch"/>
    <w:pPr>
      <w:widowControl w:val="1"/>
      <w:spacing w:after="120"/>
      <w:ind w:left="283"/>
    </w:pPr>
    <w:rPr>
      <w:sz w:val="16"/>
    </w:rPr>
  </w:style>
  <w:style w:styleId="Style_20_ch" w:type="character">
    <w:name w:val="Body Text Indent 3"/>
    <w:basedOn w:val="Style_6_ch"/>
    <w:link w:val="Style_20"/>
    <w:rPr>
      <w:sz w:val="16"/>
    </w:rPr>
  </w:style>
  <w:style w:styleId="Style_21" w:type="paragraph">
    <w:name w:val="Основной шрифт абзаца1"/>
    <w:link w:val="Style_21_ch"/>
  </w:style>
  <w:style w:styleId="Style_21_ch" w:type="character">
    <w:name w:val="Основной шрифт абзаца1"/>
    <w:link w:val="Style_21"/>
  </w:style>
  <w:style w:styleId="Style_22" w:type="paragraph">
    <w:name w:val="Обычный1"/>
    <w:link w:val="Style_22_ch"/>
    <w:rPr>
      <w:sz w:val="24"/>
    </w:rPr>
  </w:style>
  <w:style w:styleId="Style_22_ch" w:type="character">
    <w:name w:val="Обычный1"/>
    <w:link w:val="Style_22"/>
    <w:rPr>
      <w:sz w:val="24"/>
    </w:rPr>
  </w:style>
  <w:style w:styleId="Style_4" w:type="paragraph">
    <w:name w:val="Body Text"/>
    <w:basedOn w:val="Style_6"/>
    <w:link w:val="Style_4_ch"/>
    <w:pPr>
      <w:widowControl w:val="1"/>
      <w:spacing w:after="120"/>
      <w:ind/>
    </w:pPr>
    <w:rPr>
      <w:sz w:val="28"/>
    </w:rPr>
  </w:style>
  <w:style w:styleId="Style_4_ch" w:type="character">
    <w:name w:val="Body Text"/>
    <w:basedOn w:val="Style_6_ch"/>
    <w:link w:val="Style_4"/>
    <w:rPr>
      <w:sz w:val="28"/>
    </w:rPr>
  </w:style>
  <w:style w:styleId="Style_23" w:type="paragraph">
    <w:name w:val="toc 3"/>
    <w:next w:val="Style_6"/>
    <w:link w:val="Style_23_ch"/>
    <w:uiPriority w:val="39"/>
    <w:pPr>
      <w:widowControl w:val="1"/>
      <w:ind w:left="400"/>
    </w:pPr>
    <w:rPr>
      <w:rFonts w:ascii="XO Thames" w:hAnsi="XO Thames"/>
      <w:sz w:val="28"/>
    </w:rPr>
  </w:style>
  <w:style w:styleId="Style_23_ch" w:type="character">
    <w:name w:val="toc 3"/>
    <w:link w:val="Style_23"/>
    <w:rPr>
      <w:rFonts w:ascii="XO Thames" w:hAnsi="XO Thames"/>
      <w:sz w:val="28"/>
    </w:rPr>
  </w:style>
  <w:style w:styleId="Style_24" w:type="paragraph">
    <w:name w:val="List Paragraph"/>
    <w:basedOn w:val="Style_6"/>
    <w:link w:val="Style_24_ch"/>
    <w:pPr>
      <w:widowControl w:val="1"/>
      <w:ind w:left="720"/>
      <w:contextualSpacing w:val="1"/>
    </w:pPr>
  </w:style>
  <w:style w:styleId="Style_24_ch" w:type="character">
    <w:name w:val="List Paragraph"/>
    <w:basedOn w:val="Style_6_ch"/>
    <w:link w:val="Style_24"/>
  </w:style>
  <w:style w:styleId="Style_25" w:type="paragraph">
    <w:name w:val="Body Text Indent 2"/>
    <w:basedOn w:val="Style_6"/>
    <w:link w:val="Style_25_ch"/>
    <w:pPr>
      <w:widowControl w:val="1"/>
      <w:spacing w:after="120" w:line="480" w:lineRule="auto"/>
      <w:ind w:left="283"/>
    </w:pPr>
  </w:style>
  <w:style w:styleId="Style_25_ch" w:type="character">
    <w:name w:val="Body Text Indent 2"/>
    <w:basedOn w:val="Style_6_ch"/>
    <w:link w:val="Style_25"/>
  </w:style>
  <w:style w:styleId="Style_1" w:type="paragraph">
    <w:name w:val="Номер страницы1"/>
    <w:basedOn w:val="Style_26"/>
    <w:link w:val="Style_1_ch"/>
  </w:style>
  <w:style w:styleId="Style_1_ch" w:type="character">
    <w:name w:val="Номер страницы1"/>
    <w:basedOn w:val="Style_26_ch"/>
    <w:link w:val="Style_1"/>
  </w:style>
  <w:style w:styleId="Style_27" w:type="paragraph">
    <w:name w:val="Обычный1"/>
    <w:link w:val="Style_27_ch"/>
    <w:rPr>
      <w:sz w:val="24"/>
    </w:rPr>
  </w:style>
  <w:style w:styleId="Style_27_ch" w:type="character">
    <w:name w:val="Обычный1"/>
    <w:link w:val="Style_27"/>
    <w:rPr>
      <w:sz w:val="24"/>
    </w:rPr>
  </w:style>
  <w:style w:styleId="Style_28" w:type="paragraph">
    <w:name w:val="ConsPlusNonformat"/>
    <w:link w:val="Style_28_ch"/>
    <w:pPr>
      <w:widowControl w:val="0"/>
      <w:ind/>
    </w:pPr>
    <w:rPr>
      <w:rFonts w:ascii="Courier New" w:hAnsi="Courier New"/>
    </w:rPr>
  </w:style>
  <w:style w:styleId="Style_28_ch" w:type="character">
    <w:name w:val="ConsPlusNonformat"/>
    <w:link w:val="Style_28"/>
    <w:rPr>
      <w:rFonts w:ascii="Courier New" w:hAnsi="Courier New"/>
    </w:rPr>
  </w:style>
  <w:style w:styleId="Style_29" w:type="paragraph">
    <w:name w:val="heading 5"/>
    <w:next w:val="Style_6"/>
    <w:link w:val="Style_29_ch"/>
    <w:uiPriority w:val="9"/>
    <w:qFormat/>
    <w:pPr>
      <w:widowControl w:val="1"/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9_ch" w:type="character">
    <w:name w:val="heading 5"/>
    <w:link w:val="Style_29"/>
    <w:rPr>
      <w:rFonts w:ascii="XO Thames" w:hAnsi="XO Thames"/>
      <w:b w:val="1"/>
      <w:sz w:val="22"/>
    </w:rPr>
  </w:style>
  <w:style w:styleId="Style_30" w:type="paragraph">
    <w:name w:val="heading 1"/>
    <w:next w:val="Style_6"/>
    <w:link w:val="Style_30_ch"/>
    <w:uiPriority w:val="9"/>
    <w:qFormat/>
    <w:pPr>
      <w:widowControl w:val="1"/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30_ch" w:type="character">
    <w:name w:val="heading 1"/>
    <w:link w:val="Style_30"/>
    <w:rPr>
      <w:rFonts w:ascii="XO Thames" w:hAnsi="XO Thames"/>
      <w:b w:val="1"/>
      <w:sz w:val="32"/>
    </w:rPr>
  </w:style>
  <w:style w:styleId="Style_31" w:type="paragraph">
    <w:name w:val="Hyperlink"/>
    <w:link w:val="Style_31_ch"/>
    <w:rPr>
      <w:color w:val="0000FF"/>
      <w:u w:val="single"/>
    </w:rPr>
  </w:style>
  <w:style w:styleId="Style_31_ch" w:type="character">
    <w:name w:val="Hyperlink"/>
    <w:link w:val="Style_31"/>
    <w:rPr>
      <w:color w:val="0000FF"/>
      <w:u w:val="single"/>
    </w:rPr>
  </w:style>
  <w:style w:styleId="Style_32" w:type="paragraph">
    <w:name w:val="Footnote"/>
    <w:link w:val="Style_32_ch"/>
    <w:pPr>
      <w:widowControl w:val="1"/>
      <w:ind w:firstLine="851"/>
      <w:jc w:val="both"/>
    </w:pPr>
    <w:rPr>
      <w:rFonts w:ascii="XO Thames" w:hAnsi="XO Thames"/>
      <w:sz w:val="22"/>
    </w:rPr>
  </w:style>
  <w:style w:styleId="Style_32_ch" w:type="character">
    <w:name w:val="Footnote"/>
    <w:link w:val="Style_32"/>
    <w:rPr>
      <w:rFonts w:ascii="XO Thames" w:hAnsi="XO Thames"/>
      <w:sz w:val="22"/>
    </w:rPr>
  </w:style>
  <w:style w:styleId="Style_33" w:type="paragraph">
    <w:name w:val="toc 1"/>
    <w:next w:val="Style_6"/>
    <w:link w:val="Style_33_ch"/>
    <w:uiPriority w:val="39"/>
    <w:rPr>
      <w:rFonts w:ascii="XO Thames" w:hAnsi="XO Thames"/>
      <w:b w:val="1"/>
      <w:sz w:val="28"/>
    </w:rPr>
  </w:style>
  <w:style w:styleId="Style_33_ch" w:type="character">
    <w:name w:val="toc 1"/>
    <w:link w:val="Style_33"/>
    <w:rPr>
      <w:rFonts w:ascii="XO Thames" w:hAnsi="XO Thames"/>
      <w:b w:val="1"/>
      <w:sz w:val="28"/>
    </w:rPr>
  </w:style>
  <w:style w:styleId="Style_26" w:type="paragraph">
    <w:name w:val="Основной шрифт абзаца1"/>
    <w:link w:val="Style_26_ch"/>
  </w:style>
  <w:style w:styleId="Style_26_ch" w:type="character">
    <w:name w:val="Основной шрифт абзаца1"/>
    <w:link w:val="Style_26"/>
  </w:style>
  <w:style w:styleId="Style_34" w:type="paragraph">
    <w:name w:val="Header and Footer"/>
    <w:link w:val="Style_34_ch"/>
    <w:pPr>
      <w:widowControl w:val="1"/>
      <w:ind/>
      <w:jc w:val="both"/>
    </w:pPr>
    <w:rPr>
      <w:rFonts w:ascii="XO Thames" w:hAnsi="XO Thames"/>
    </w:rPr>
  </w:style>
  <w:style w:styleId="Style_34_ch" w:type="character">
    <w:name w:val="Header and Footer"/>
    <w:link w:val="Style_34"/>
    <w:rPr>
      <w:rFonts w:ascii="XO Thames" w:hAnsi="XO Thames"/>
    </w:rPr>
  </w:style>
  <w:style w:styleId="Style_35" w:type="paragraph">
    <w:name w:val="No Spacing"/>
    <w:link w:val="Style_35_ch"/>
    <w:rPr>
      <w:rFonts w:ascii="Calibri" w:hAnsi="Calibri"/>
      <w:sz w:val="22"/>
    </w:rPr>
  </w:style>
  <w:style w:styleId="Style_35_ch" w:type="character">
    <w:name w:val="No Spacing"/>
    <w:link w:val="Style_35"/>
    <w:rPr>
      <w:rFonts w:ascii="Calibri" w:hAnsi="Calibri"/>
      <w:sz w:val="22"/>
    </w:rPr>
  </w:style>
  <w:style w:styleId="Style_36" w:type="paragraph">
    <w:name w:val="toc 9"/>
    <w:next w:val="Style_6"/>
    <w:link w:val="Style_36_ch"/>
    <w:uiPriority w:val="39"/>
    <w:pPr>
      <w:widowControl w:val="1"/>
      <w:ind w:left="1600"/>
    </w:pPr>
    <w:rPr>
      <w:rFonts w:ascii="XO Thames" w:hAnsi="XO Thames"/>
      <w:sz w:val="28"/>
    </w:rPr>
  </w:style>
  <w:style w:styleId="Style_36_ch" w:type="character">
    <w:name w:val="toc 9"/>
    <w:link w:val="Style_36"/>
    <w:rPr>
      <w:rFonts w:ascii="XO Thames" w:hAnsi="XO Thames"/>
      <w:sz w:val="28"/>
    </w:rPr>
  </w:style>
  <w:style w:styleId="Style_37" w:type="paragraph">
    <w:name w:val="apple-converted-space"/>
    <w:basedOn w:val="Style_26"/>
    <w:link w:val="Style_37_ch"/>
  </w:style>
  <w:style w:styleId="Style_37_ch" w:type="character">
    <w:name w:val="apple-converted-space"/>
    <w:basedOn w:val="Style_26_ch"/>
    <w:link w:val="Style_37"/>
  </w:style>
  <w:style w:styleId="Style_38" w:type="paragraph">
    <w:name w:val="Гиперссылка2"/>
    <w:link w:val="Style_38_ch"/>
    <w:rPr>
      <w:color w:val="0000FF"/>
      <w:u w:val="single"/>
    </w:rPr>
  </w:style>
  <w:style w:styleId="Style_38_ch" w:type="character">
    <w:name w:val="Гиперссылка2"/>
    <w:link w:val="Style_38"/>
    <w:rPr>
      <w:color w:val="0000FF"/>
      <w:u w:val="single"/>
    </w:rPr>
  </w:style>
  <w:style w:styleId="Style_39" w:type="paragraph">
    <w:name w:val="Balloon Text"/>
    <w:basedOn w:val="Style_6"/>
    <w:link w:val="Style_39_ch"/>
    <w:rPr>
      <w:rFonts w:ascii="Tahoma" w:hAnsi="Tahoma"/>
      <w:sz w:val="16"/>
    </w:rPr>
  </w:style>
  <w:style w:styleId="Style_39_ch" w:type="character">
    <w:name w:val="Balloon Text"/>
    <w:basedOn w:val="Style_6_ch"/>
    <w:link w:val="Style_39"/>
    <w:rPr>
      <w:rFonts w:ascii="Tahoma" w:hAnsi="Tahoma"/>
      <w:sz w:val="16"/>
    </w:rPr>
  </w:style>
  <w:style w:styleId="Style_40" w:type="paragraph">
    <w:name w:val="toc 8"/>
    <w:next w:val="Style_6"/>
    <w:link w:val="Style_40_ch"/>
    <w:uiPriority w:val="39"/>
    <w:pPr>
      <w:widowControl w:val="1"/>
      <w:ind w:left="1400"/>
    </w:pPr>
    <w:rPr>
      <w:rFonts w:ascii="XO Thames" w:hAnsi="XO Thames"/>
      <w:sz w:val="28"/>
    </w:rPr>
  </w:style>
  <w:style w:styleId="Style_40_ch" w:type="character">
    <w:name w:val="toc 8"/>
    <w:link w:val="Style_40"/>
    <w:rPr>
      <w:rFonts w:ascii="XO Thames" w:hAnsi="XO Thames"/>
      <w:sz w:val="28"/>
    </w:rPr>
  </w:style>
  <w:style w:styleId="Style_41" w:type="paragraph">
    <w:name w:val="Default Paragraph Font"/>
    <w:link w:val="Style_41_ch"/>
  </w:style>
  <w:style w:styleId="Style_41_ch" w:type="character">
    <w:name w:val="Default Paragraph Font"/>
    <w:link w:val="Style_41"/>
  </w:style>
  <w:style w:styleId="Style_42" w:type="paragraph">
    <w:name w:val="toc 5"/>
    <w:next w:val="Style_6"/>
    <w:link w:val="Style_42_ch"/>
    <w:uiPriority w:val="39"/>
    <w:pPr>
      <w:widowControl w:val="1"/>
      <w:ind w:left="800"/>
    </w:pPr>
    <w:rPr>
      <w:rFonts w:ascii="XO Thames" w:hAnsi="XO Thames"/>
      <w:sz w:val="28"/>
    </w:rPr>
  </w:style>
  <w:style w:styleId="Style_42_ch" w:type="character">
    <w:name w:val="toc 5"/>
    <w:link w:val="Style_42"/>
    <w:rPr>
      <w:rFonts w:ascii="XO Thames" w:hAnsi="XO Thames"/>
      <w:sz w:val="28"/>
    </w:rPr>
  </w:style>
  <w:style w:styleId="Style_43" w:type="paragraph">
    <w:name w:val="footer"/>
    <w:basedOn w:val="Style_6"/>
    <w:link w:val="Style_43_ch"/>
    <w:pPr>
      <w:widowControl w:val="1"/>
      <w:tabs>
        <w:tab w:leader="none" w:pos="4677" w:val="center"/>
        <w:tab w:leader="none" w:pos="9355" w:val="right"/>
      </w:tabs>
      <w:ind/>
    </w:pPr>
  </w:style>
  <w:style w:styleId="Style_43_ch" w:type="character">
    <w:name w:val="footer"/>
    <w:basedOn w:val="Style_6_ch"/>
    <w:link w:val="Style_43"/>
  </w:style>
  <w:style w:styleId="Style_44" w:type="paragraph">
    <w:name w:val="Subtitle"/>
    <w:next w:val="Style_6"/>
    <w:link w:val="Style_44_ch"/>
    <w:uiPriority w:val="11"/>
    <w:qFormat/>
    <w:pPr>
      <w:widowControl w:val="1"/>
      <w:ind/>
      <w:jc w:val="both"/>
    </w:pPr>
    <w:rPr>
      <w:rFonts w:ascii="XO Thames" w:hAnsi="XO Thames"/>
      <w:i w:val="1"/>
      <w:sz w:val="24"/>
    </w:rPr>
  </w:style>
  <w:style w:styleId="Style_44_ch" w:type="character">
    <w:name w:val="Subtitle"/>
    <w:link w:val="Style_44"/>
    <w:rPr>
      <w:rFonts w:ascii="XO Thames" w:hAnsi="XO Thames"/>
      <w:i w:val="1"/>
      <w:sz w:val="24"/>
    </w:rPr>
  </w:style>
  <w:style w:styleId="Style_45" w:type="paragraph">
    <w:name w:val="Обычный1"/>
    <w:link w:val="Style_45_ch"/>
    <w:rPr>
      <w:sz w:val="24"/>
    </w:rPr>
  </w:style>
  <w:style w:styleId="Style_45_ch" w:type="character">
    <w:name w:val="Обычный1"/>
    <w:link w:val="Style_45"/>
    <w:rPr>
      <w:sz w:val="24"/>
    </w:rPr>
  </w:style>
  <w:style w:styleId="Style_46" w:type="paragraph">
    <w:name w:val="Title"/>
    <w:basedOn w:val="Style_6"/>
    <w:link w:val="Style_46_ch"/>
    <w:uiPriority w:val="10"/>
    <w:qFormat/>
    <w:pPr>
      <w:widowControl w:val="1"/>
      <w:ind/>
      <w:jc w:val="center"/>
    </w:pPr>
    <w:rPr>
      <w:b w:val="1"/>
    </w:rPr>
  </w:style>
  <w:style w:styleId="Style_46_ch" w:type="character">
    <w:name w:val="Title"/>
    <w:basedOn w:val="Style_6_ch"/>
    <w:link w:val="Style_46"/>
    <w:rPr>
      <w:b w:val="1"/>
    </w:rPr>
  </w:style>
  <w:style w:styleId="Style_47" w:type="paragraph">
    <w:name w:val="Body Text Indent"/>
    <w:basedOn w:val="Style_6"/>
    <w:link w:val="Style_47_ch"/>
    <w:pPr>
      <w:widowControl w:val="1"/>
      <w:ind w:firstLine="540"/>
    </w:pPr>
  </w:style>
  <w:style w:styleId="Style_47_ch" w:type="character">
    <w:name w:val="Body Text Indent"/>
    <w:basedOn w:val="Style_6_ch"/>
    <w:link w:val="Style_47"/>
  </w:style>
  <w:style w:styleId="Style_3" w:type="paragraph">
    <w:name w:val="heading 4"/>
    <w:basedOn w:val="Style_6"/>
    <w:next w:val="Style_6"/>
    <w:link w:val="Style_3_ch"/>
    <w:uiPriority w:val="9"/>
    <w:qFormat/>
    <w:pPr>
      <w:keepNext w:val="1"/>
      <w:widowControl w:val="1"/>
      <w:ind/>
      <w:jc w:val="center"/>
      <w:outlineLvl w:val="3"/>
    </w:pPr>
    <w:rPr>
      <w:b w:val="1"/>
    </w:rPr>
  </w:style>
  <w:style w:styleId="Style_3_ch" w:type="character">
    <w:name w:val="heading 4"/>
    <w:basedOn w:val="Style_6_ch"/>
    <w:link w:val="Style_3"/>
    <w:rPr>
      <w:b w:val="1"/>
    </w:rPr>
  </w:style>
  <w:style w:styleId="Style_48" w:type="paragraph">
    <w:name w:val="Обычный1"/>
    <w:link w:val="Style_48_ch"/>
    <w:rPr>
      <w:sz w:val="24"/>
    </w:rPr>
  </w:style>
  <w:style w:styleId="Style_48_ch" w:type="character">
    <w:name w:val="Обычный1"/>
    <w:link w:val="Style_48"/>
    <w:rPr>
      <w:sz w:val="24"/>
    </w:rPr>
  </w:style>
  <w:style w:styleId="Style_49" w:type="paragraph">
    <w:name w:val="Содержимое таблицы"/>
    <w:basedOn w:val="Style_6"/>
    <w:link w:val="Style_49_ch"/>
  </w:style>
  <w:style w:styleId="Style_49_ch" w:type="character">
    <w:name w:val="Содержимое таблицы"/>
    <w:basedOn w:val="Style_6_ch"/>
    <w:link w:val="Style_49"/>
  </w:style>
  <w:style w:styleId="Style_50" w:type="paragraph">
    <w:name w:val="heading 2"/>
    <w:next w:val="Style_6"/>
    <w:link w:val="Style_50_ch"/>
    <w:uiPriority w:val="9"/>
    <w:qFormat/>
    <w:pPr>
      <w:widowControl w:val="1"/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50_ch" w:type="character">
    <w:name w:val="heading 2"/>
    <w:link w:val="Style_50"/>
    <w:rPr>
      <w:rFonts w:ascii="XO Thames" w:hAnsi="XO Thames"/>
      <w:b w:val="1"/>
      <w:sz w:val="28"/>
    </w:rPr>
  </w:style>
  <w:style w:styleId="Style_51" w:type="paragraph">
    <w:name w:val="Гиперссылка1"/>
    <w:link w:val="Style_51_ch"/>
    <w:rPr>
      <w:color w:val="0000FF"/>
      <w:u w:val="single"/>
    </w:rPr>
  </w:style>
  <w:style w:styleId="Style_51_ch" w:type="character">
    <w:name w:val="Гиперссылка1"/>
    <w:link w:val="Style_51"/>
    <w:rPr>
      <w:color w:val="0000FF"/>
      <w:u w:val="single"/>
    </w:rPr>
  </w:style>
  <w:style w:styleId="Style_52" w:type="paragraph">
    <w:name w:val="Гиперссылка1"/>
    <w:link w:val="Style_52_ch"/>
    <w:rPr>
      <w:color w:val="0000FF"/>
      <w:u w:val="single"/>
    </w:rPr>
  </w:style>
  <w:style w:styleId="Style_52_ch" w:type="character">
    <w:name w:val="Гиперссылка1"/>
    <w:link w:val="Style_52"/>
    <w:rPr>
      <w:color w:val="0000FF"/>
      <w:u w:val="single"/>
    </w:rPr>
  </w:style>
  <w:style w:styleId="Style_53" w:type="table">
    <w:name w:val="Table Grid"/>
    <w:basedOn w:val="Style_5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header1.xml" Type="http://schemas.openxmlformats.org/officeDocument/2006/relationships/head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MyOffice-CoreFramework-Linux/35-1293.911.9787.924.1@276c0809a45ec84ef9eee7a834ac8b6d50e2f01d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2025-01-14T18:22:00Z</dcterms:created>
  <dcterms:modified xsi:type="dcterms:W3CDTF">2025-02-21T07:48:14Z</dcterms:modified>
</cp:coreProperties>
</file>